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B87FF" w14:textId="5D1D31D4" w:rsidR="00121089" w:rsidRDefault="00F406CE" w:rsidP="00F406CE">
      <w:pPr>
        <w:jc w:val="center"/>
        <w:rPr>
          <w:rFonts w:ascii="Cambria" w:hAnsi="Cambria"/>
          <w:b/>
          <w:bCs/>
          <w:sz w:val="28"/>
          <w:szCs w:val="28"/>
          <w:u w:val="single"/>
          <w:lang w:val="es-PE"/>
        </w:rPr>
      </w:pPr>
      <w:r w:rsidRPr="00F406CE">
        <w:rPr>
          <w:rFonts w:ascii="Cambria" w:hAnsi="Cambria"/>
          <w:b/>
          <w:bCs/>
          <w:sz w:val="28"/>
          <w:szCs w:val="28"/>
          <w:u w:val="single"/>
          <w:lang w:val="es-PE"/>
        </w:rPr>
        <w:t>OBSERVACIONES</w:t>
      </w:r>
    </w:p>
    <w:p w14:paraId="55145E05" w14:textId="0B9C4875" w:rsidR="00F406CE" w:rsidRDefault="00F406CE" w:rsidP="00F406CE">
      <w:pPr>
        <w:spacing w:line="360" w:lineRule="auto"/>
        <w:jc w:val="both"/>
        <w:rPr>
          <w:rFonts w:ascii="Cambria" w:hAnsi="Cambria"/>
        </w:rPr>
      </w:pPr>
      <w:r w:rsidRPr="00F406CE">
        <w:rPr>
          <w:rFonts w:ascii="Cambria" w:hAnsi="Cambria"/>
          <w:lang w:val="es-PE"/>
        </w:rPr>
        <w:t>Estimados buen día, se precisa las siguientes observaciones a la ACTUALIZACIÓN DE TDR – SUMINISTRO DE AGREGADOS</w:t>
      </w:r>
      <w:r w:rsidRPr="00F406CE">
        <w:rPr>
          <w:rFonts w:ascii="Cambria" w:hAnsi="Cambria"/>
        </w:rPr>
        <w:t xml:space="preserve"> </w:t>
      </w:r>
      <w:r w:rsidRPr="00F406CE">
        <w:rPr>
          <w:rFonts w:ascii="Cambria" w:hAnsi="Cambria"/>
          <w:lang w:val="es-PE"/>
        </w:rPr>
        <w:t>PARA RELLENOS DE LOS</w:t>
      </w:r>
      <w:r w:rsidRPr="00F406CE">
        <w:rPr>
          <w:rFonts w:ascii="Cambria" w:hAnsi="Cambria"/>
        </w:rPr>
        <w:t xml:space="preserve"> </w:t>
      </w:r>
      <w:r w:rsidRPr="00F406CE">
        <w:rPr>
          <w:rFonts w:ascii="Cambria" w:hAnsi="Cambria"/>
          <w:lang w:val="es-PE"/>
        </w:rPr>
        <w:t>SUBPROYECTOS DEL RÍO</w:t>
      </w:r>
      <w:r w:rsidRPr="00F406CE">
        <w:rPr>
          <w:rFonts w:ascii="Cambria" w:hAnsi="Cambria"/>
        </w:rPr>
        <w:t xml:space="preserve"> </w:t>
      </w:r>
      <w:r w:rsidRPr="00F406CE">
        <w:rPr>
          <w:rFonts w:ascii="Cambria" w:hAnsi="Cambria"/>
          <w:lang w:val="es-PE"/>
        </w:rPr>
        <w:t>L</w:t>
      </w:r>
      <w:r w:rsidRPr="00F406CE">
        <w:rPr>
          <w:rFonts w:ascii="Cambria" w:hAnsi="Cambria"/>
        </w:rPr>
        <w:t>ACRAMARCA</w:t>
      </w:r>
    </w:p>
    <w:p w14:paraId="6E147FC6" w14:textId="275BD002" w:rsidR="00F406CE" w:rsidRDefault="00F406CE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 xml:space="preserve">Se solicita que el TDR sea adecuado únicamente a los trabajos de suministro de agregado, puesto que contiene información que no tiene nada que ver </w:t>
      </w:r>
      <w:r w:rsidR="003C3E75">
        <w:rPr>
          <w:rFonts w:ascii="Cambria" w:hAnsi="Cambria"/>
          <w:lang w:val="es-PE"/>
        </w:rPr>
        <w:t>con los trabajos, además indica que existe una prelación documentaria, por lo cual resulta de suma importancia modificar.</w:t>
      </w:r>
    </w:p>
    <w:p w14:paraId="5113E2B6" w14:textId="268EB81D" w:rsidR="002E0306" w:rsidRDefault="003C3E75" w:rsidP="008065BB">
      <w:pPr>
        <w:jc w:val="center"/>
        <w:rPr>
          <w:rFonts w:ascii="Cambria" w:hAnsi="Cambria"/>
          <w:lang w:val="es-PE"/>
        </w:rPr>
      </w:pPr>
      <w:r w:rsidRPr="002E0306">
        <w:rPr>
          <w:noProof/>
        </w:rPr>
        <w:drawing>
          <wp:inline distT="0" distB="0" distL="0" distR="0" wp14:anchorId="28B55631" wp14:editId="5F03B2D6">
            <wp:extent cx="3787406" cy="1582409"/>
            <wp:effectExtent l="19050" t="19050" r="22860" b="18415"/>
            <wp:docPr id="809454032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454032" name="Imagen 1" descr="Interfaz de usuario gráfica, Texto, Aplicación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05673" cy="1590041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C3A050E" w14:textId="68E0BFBA" w:rsidR="00215B93" w:rsidRDefault="00215B93" w:rsidP="008065BB">
      <w:pPr>
        <w:jc w:val="center"/>
        <w:rPr>
          <w:rFonts w:ascii="Cambria" w:hAnsi="Cambria"/>
          <w:lang w:val="es-PE"/>
        </w:rPr>
      </w:pPr>
    </w:p>
    <w:p w14:paraId="11283404" w14:textId="79615561" w:rsidR="00215B93" w:rsidRDefault="00876957" w:rsidP="008B330D">
      <w:pPr>
        <w:rPr>
          <w:rFonts w:ascii="Cambria" w:hAnsi="Cambria"/>
          <w:b/>
          <w:i/>
          <w:lang w:val="es-PE"/>
        </w:rPr>
      </w:pPr>
      <w:r w:rsidRPr="000C04AD">
        <w:rPr>
          <w:rFonts w:ascii="Cambria" w:hAnsi="Cambria"/>
          <w:b/>
          <w:i/>
          <w:lang w:val="es-PE"/>
        </w:rPr>
        <w:t xml:space="preserve">La prelación de documentos será parte del contrato que se realice con el subcontratista ganador del proceso de </w:t>
      </w:r>
      <w:r w:rsidR="008B330D" w:rsidRPr="000C04AD">
        <w:rPr>
          <w:rFonts w:ascii="Cambria" w:hAnsi="Cambria"/>
          <w:b/>
          <w:i/>
          <w:lang w:val="es-PE"/>
        </w:rPr>
        <w:t>licitación</w:t>
      </w:r>
      <w:r w:rsidR="000C04AD">
        <w:rPr>
          <w:rFonts w:ascii="Cambria" w:hAnsi="Cambria"/>
          <w:b/>
          <w:i/>
          <w:lang w:val="es-PE"/>
        </w:rPr>
        <w:t xml:space="preserve">. Este detalle lo puede revisar en el anexo </w:t>
      </w:r>
      <w:r w:rsidR="0015192C">
        <w:rPr>
          <w:rFonts w:ascii="Cambria" w:hAnsi="Cambria"/>
          <w:b/>
          <w:i/>
          <w:lang w:val="es-PE"/>
        </w:rPr>
        <w:t>5</w:t>
      </w:r>
      <w:r w:rsidR="000C04AD">
        <w:rPr>
          <w:rFonts w:ascii="Cambria" w:hAnsi="Cambria"/>
          <w:b/>
          <w:i/>
          <w:lang w:val="es-PE"/>
        </w:rPr>
        <w:t xml:space="preserve"> de los términos de referencia </w:t>
      </w:r>
      <w:r w:rsidR="0015192C">
        <w:rPr>
          <w:rFonts w:ascii="Cambria" w:hAnsi="Cambria"/>
          <w:b/>
          <w:i/>
          <w:lang w:val="es-PE"/>
        </w:rPr>
        <w:t>Contratos</w:t>
      </w:r>
      <w:r w:rsidR="000C04AD">
        <w:rPr>
          <w:rFonts w:ascii="Cambria" w:hAnsi="Cambria"/>
          <w:b/>
          <w:i/>
          <w:lang w:val="es-PE"/>
        </w:rPr>
        <w:t xml:space="preserve"> (Modelo de contrato), clausula 22.2 del mismo. </w:t>
      </w:r>
    </w:p>
    <w:p w14:paraId="7D83E9D2" w14:textId="77777777" w:rsidR="008065BB" w:rsidRPr="008065BB" w:rsidRDefault="008065BB" w:rsidP="008065BB">
      <w:pPr>
        <w:rPr>
          <w:sz w:val="2"/>
          <w:szCs w:val="2"/>
          <w:lang w:val="es-PE"/>
        </w:rPr>
      </w:pPr>
    </w:p>
    <w:p w14:paraId="32FFE8AA" w14:textId="147F0F0F" w:rsidR="00F406CE" w:rsidRDefault="002B43BB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El cuadro de suministro no coincide con la actualización subida a la plataforma TENDERBILL.</w:t>
      </w:r>
    </w:p>
    <w:p w14:paraId="7B720C30" w14:textId="6DEEAB9D" w:rsidR="002B43BB" w:rsidRDefault="008065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D25AB5" wp14:editId="185B1CBB">
                <wp:simplePos x="0" y="0"/>
                <wp:positionH relativeFrom="column">
                  <wp:posOffset>4059865</wp:posOffset>
                </wp:positionH>
                <wp:positionV relativeFrom="paragraph">
                  <wp:posOffset>5002440</wp:posOffset>
                </wp:positionV>
                <wp:extent cx="680484" cy="170121"/>
                <wp:effectExtent l="0" t="0" r="24765" b="20955"/>
                <wp:wrapNone/>
                <wp:docPr id="276288142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484" cy="170121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EF41298" id="Rectángulo 2" o:spid="_x0000_s1026" style="position:absolute;margin-left:319.65pt;margin-top:393.9pt;width:53.6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" filled="f" strokecolor="red" strokeweight="1.5pt"/>
            </w:pict>
          </mc:Fallback>
        </mc:AlternateContent>
      </w:r>
      <w:r w:rsidR="002B43BB">
        <w:rPr>
          <w:noProof/>
        </w:rPr>
        <w:drawing>
          <wp:inline distT="0" distB="0" distL="0" distR="0" wp14:anchorId="72448BE8" wp14:editId="783A87AA">
            <wp:extent cx="3649182" cy="5167917"/>
            <wp:effectExtent l="19050" t="19050" r="27940" b="13970"/>
            <wp:docPr id="170415909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41590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67886" cy="5194406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D21E0B2" w14:textId="77777777" w:rsidR="002B43BB" w:rsidRDefault="002B43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</w:p>
    <w:p w14:paraId="16A796E3" w14:textId="3D3D815F" w:rsidR="002B43BB" w:rsidRDefault="002B43BB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8AAC3" wp14:editId="591CC451">
                <wp:simplePos x="0" y="0"/>
                <wp:positionH relativeFrom="column">
                  <wp:posOffset>4772247</wp:posOffset>
                </wp:positionH>
                <wp:positionV relativeFrom="paragraph">
                  <wp:posOffset>4826665</wp:posOffset>
                </wp:positionV>
                <wp:extent cx="690909" cy="200984"/>
                <wp:effectExtent l="0" t="0" r="13970" b="27940"/>
                <wp:wrapNone/>
                <wp:docPr id="127326618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0909" cy="200984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A0159F2" id="Rectángulo 2" o:spid="_x0000_s1026" style="position:absolute;margin-left:375.75pt;margin-top:380.05pt;width:54.4pt;height:1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" filled="f" strokecolor="red" strokeweight="1.5pt"/>
            </w:pict>
          </mc:Fallback>
        </mc:AlternateContent>
      </w:r>
      <w:r w:rsidRPr="002B43BB">
        <w:rPr>
          <w:noProof/>
        </w:rPr>
        <w:drawing>
          <wp:inline distT="0" distB="0" distL="0" distR="0" wp14:anchorId="6BD7989B" wp14:editId="4F40B97A">
            <wp:extent cx="4882559" cy="5006473"/>
            <wp:effectExtent l="19050" t="19050" r="13335" b="22860"/>
            <wp:docPr id="23291780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986" cy="501306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B98E27D" w14:textId="3335D277" w:rsidR="000C04AD" w:rsidRDefault="000C04AD" w:rsidP="002B43BB">
      <w:pPr>
        <w:pStyle w:val="Prrafodelista"/>
        <w:spacing w:line="360" w:lineRule="auto"/>
        <w:ind w:left="284"/>
        <w:jc w:val="center"/>
        <w:rPr>
          <w:rFonts w:ascii="Cambria" w:hAnsi="Cambria"/>
          <w:lang w:val="es-PE"/>
        </w:rPr>
      </w:pPr>
    </w:p>
    <w:p w14:paraId="32D7FF37" w14:textId="3DA05A1C" w:rsidR="000C04AD" w:rsidRPr="000C04AD" w:rsidRDefault="000C04AD" w:rsidP="000C04AD">
      <w:pPr>
        <w:pStyle w:val="Prrafodelista"/>
        <w:spacing w:line="360" w:lineRule="auto"/>
        <w:ind w:left="284"/>
        <w:rPr>
          <w:rFonts w:ascii="Cambria" w:hAnsi="Cambria"/>
          <w:b/>
          <w:i/>
          <w:lang w:val="es-PE"/>
        </w:rPr>
      </w:pPr>
      <w:r w:rsidRPr="000C04AD">
        <w:rPr>
          <w:rFonts w:ascii="Cambria" w:hAnsi="Cambria"/>
          <w:b/>
          <w:i/>
          <w:lang w:val="es-PE"/>
        </w:rPr>
        <w:t>La lista de actividades se actualizará en el TDR final antes de la firma del contrato, la lista fue actualizada, la misma que será parte del contrato</w:t>
      </w:r>
      <w:r w:rsidR="0015192C">
        <w:rPr>
          <w:rFonts w:ascii="Cambria" w:hAnsi="Cambria"/>
          <w:b/>
          <w:i/>
          <w:lang w:val="es-PE"/>
        </w:rPr>
        <w:t>, favor de considerar la última lista para la cotización.</w:t>
      </w:r>
      <w:bookmarkStart w:id="0" w:name="_GoBack"/>
      <w:bookmarkEnd w:id="0"/>
    </w:p>
    <w:p w14:paraId="0FD9FCFE" w14:textId="77777777" w:rsidR="002B43BB" w:rsidRDefault="002B43BB" w:rsidP="002B43BB">
      <w:pPr>
        <w:pStyle w:val="Prrafodelista"/>
        <w:spacing w:line="360" w:lineRule="auto"/>
        <w:ind w:left="284"/>
        <w:jc w:val="both"/>
        <w:rPr>
          <w:rFonts w:ascii="Cambria" w:hAnsi="Cambria"/>
          <w:lang w:val="es-PE"/>
        </w:rPr>
      </w:pPr>
    </w:p>
    <w:p w14:paraId="6D44C733" w14:textId="2E17C461" w:rsidR="002B43BB" w:rsidRDefault="008065BB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Se coloco un Plan de Gestión de Calidad que no tiene relación con el suministro de agregados.</w:t>
      </w:r>
    </w:p>
    <w:p w14:paraId="6FD447A9" w14:textId="6A99A7F7" w:rsidR="00D9011D" w:rsidRPr="007824B2" w:rsidRDefault="007824B2" w:rsidP="00D9011D">
      <w:pPr>
        <w:pStyle w:val="Prrafodelista"/>
        <w:spacing w:line="360" w:lineRule="auto"/>
        <w:ind w:left="284"/>
        <w:jc w:val="both"/>
        <w:rPr>
          <w:rFonts w:ascii="Cambria" w:hAnsi="Cambria"/>
          <w:b/>
          <w:i/>
          <w:lang w:val="es-PE"/>
        </w:rPr>
      </w:pPr>
      <w:r>
        <w:rPr>
          <w:rFonts w:ascii="Cambria" w:hAnsi="Cambria"/>
          <w:b/>
          <w:i/>
          <w:lang w:val="es-PE"/>
        </w:rPr>
        <w:t xml:space="preserve">  </w:t>
      </w:r>
      <w:r w:rsidR="00226076" w:rsidRPr="007824B2">
        <w:rPr>
          <w:rFonts w:ascii="Cambria" w:hAnsi="Cambria"/>
          <w:b/>
          <w:i/>
          <w:lang w:val="es-PE"/>
        </w:rPr>
        <w:t>Por favor NO considerar</w:t>
      </w:r>
      <w:r w:rsidRPr="007824B2">
        <w:rPr>
          <w:rFonts w:ascii="Cambria" w:hAnsi="Cambria"/>
          <w:b/>
          <w:i/>
          <w:lang w:val="es-PE"/>
        </w:rPr>
        <w:t>, se actualizará el TdR con lo indicado.</w:t>
      </w:r>
    </w:p>
    <w:p w14:paraId="4F7DD807" w14:textId="622727FC" w:rsidR="00710089" w:rsidRDefault="00710089" w:rsidP="00710089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Se coloco un Plan de Inspección y Prueba que no tiene relación con el suministro de agregados.</w:t>
      </w:r>
    </w:p>
    <w:p w14:paraId="50B9CFF4" w14:textId="67D27927" w:rsidR="007824B2" w:rsidRPr="007824B2" w:rsidRDefault="007824B2" w:rsidP="007824B2">
      <w:pPr>
        <w:spacing w:line="360" w:lineRule="auto"/>
        <w:jc w:val="both"/>
        <w:rPr>
          <w:rFonts w:ascii="Cambria" w:hAnsi="Cambria"/>
          <w:b/>
          <w:i/>
          <w:lang w:val="es-PE"/>
        </w:rPr>
      </w:pPr>
      <w:r w:rsidRPr="007824B2">
        <w:rPr>
          <w:rFonts w:ascii="Cambria" w:hAnsi="Cambria"/>
          <w:i/>
          <w:lang w:val="es-PE"/>
        </w:rPr>
        <w:t xml:space="preserve">       </w:t>
      </w:r>
      <w:r w:rsidRPr="007824B2">
        <w:rPr>
          <w:rFonts w:ascii="Cambria" w:hAnsi="Cambria"/>
          <w:b/>
          <w:i/>
          <w:lang w:val="es-PE"/>
        </w:rPr>
        <w:t xml:space="preserve">Por favor NO considerar, se </w:t>
      </w:r>
      <w:r w:rsidRPr="007824B2">
        <w:rPr>
          <w:rFonts w:ascii="Cambria" w:hAnsi="Cambria"/>
          <w:b/>
          <w:i/>
          <w:lang w:val="es-PE"/>
        </w:rPr>
        <w:t>actualizará</w:t>
      </w:r>
      <w:r w:rsidRPr="007824B2">
        <w:rPr>
          <w:rFonts w:ascii="Cambria" w:hAnsi="Cambria"/>
          <w:b/>
          <w:i/>
          <w:lang w:val="es-PE"/>
        </w:rPr>
        <w:t xml:space="preserve"> el TdR con lo indicado.</w:t>
      </w:r>
    </w:p>
    <w:p w14:paraId="11285045" w14:textId="5327D244" w:rsidR="00710089" w:rsidRDefault="00710089" w:rsidP="00710089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Se coloco un Procedimiento de contratación de Personal que no tiene relación con el suministro de agregados.</w:t>
      </w:r>
    </w:p>
    <w:p w14:paraId="036BA4D4" w14:textId="673599BF" w:rsidR="007824B2" w:rsidRPr="007824B2" w:rsidRDefault="007824B2" w:rsidP="007824B2">
      <w:pPr>
        <w:spacing w:line="360" w:lineRule="auto"/>
        <w:jc w:val="both"/>
        <w:rPr>
          <w:rFonts w:ascii="Cambria" w:hAnsi="Cambria"/>
          <w:b/>
          <w:i/>
          <w:lang w:val="es-PE"/>
        </w:rPr>
      </w:pPr>
      <w:r w:rsidRPr="007824B2">
        <w:rPr>
          <w:rFonts w:ascii="Cambria" w:hAnsi="Cambria"/>
          <w:b/>
          <w:lang w:val="es-PE"/>
        </w:rPr>
        <w:t xml:space="preserve">       </w:t>
      </w:r>
      <w:r w:rsidRPr="007824B2">
        <w:rPr>
          <w:rFonts w:ascii="Cambria" w:hAnsi="Cambria"/>
          <w:b/>
          <w:i/>
          <w:lang w:val="es-PE"/>
        </w:rPr>
        <w:t xml:space="preserve">Por favor NO considerar, se </w:t>
      </w:r>
      <w:r w:rsidRPr="007824B2">
        <w:rPr>
          <w:rFonts w:ascii="Cambria" w:hAnsi="Cambria"/>
          <w:b/>
          <w:i/>
          <w:lang w:val="es-PE"/>
        </w:rPr>
        <w:t>actualizará</w:t>
      </w:r>
      <w:r w:rsidRPr="007824B2">
        <w:rPr>
          <w:rFonts w:ascii="Cambria" w:hAnsi="Cambria"/>
          <w:b/>
          <w:i/>
          <w:lang w:val="es-PE"/>
        </w:rPr>
        <w:t xml:space="preserve"> el TdR con lo indicado.</w:t>
      </w:r>
    </w:p>
    <w:p w14:paraId="509AB9A1" w14:textId="353A4AA2" w:rsidR="008065BB" w:rsidRDefault="00710089" w:rsidP="00F406CE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lastRenderedPageBreak/>
        <w:t>Se colocaron archivos de liberación de excavaciones, rellenos, geotextiles, enrocado, alcantarillas, gaviones, acero de refuerzo, encofrado y desencofrado, preparación de concreto, etc., que no tiene nada que ver con el suministro de agregados.</w:t>
      </w:r>
    </w:p>
    <w:p w14:paraId="17463A45" w14:textId="7BF2DE04" w:rsidR="007824B2" w:rsidRPr="007824B2" w:rsidRDefault="007824B2" w:rsidP="007824B2">
      <w:pPr>
        <w:spacing w:line="360" w:lineRule="auto"/>
        <w:jc w:val="both"/>
        <w:rPr>
          <w:rFonts w:ascii="Cambria" w:hAnsi="Cambria"/>
          <w:b/>
          <w:i/>
          <w:lang w:val="es-PE"/>
        </w:rPr>
      </w:pPr>
      <w:r w:rsidRPr="007824B2">
        <w:rPr>
          <w:rFonts w:ascii="Cambria" w:hAnsi="Cambria"/>
          <w:b/>
          <w:i/>
          <w:lang w:val="es-PE"/>
        </w:rPr>
        <w:t xml:space="preserve">      </w:t>
      </w:r>
      <w:r w:rsidRPr="007824B2">
        <w:rPr>
          <w:rFonts w:ascii="Cambria" w:hAnsi="Cambria"/>
          <w:b/>
          <w:i/>
          <w:lang w:val="es-PE"/>
        </w:rPr>
        <w:t>Por favor NO considerar, se actualizará el TdR con lo indicado.</w:t>
      </w:r>
    </w:p>
    <w:p w14:paraId="68FC17C5" w14:textId="3793C130" w:rsidR="002B43BB" w:rsidRDefault="00F84E02" w:rsidP="00FE5B57">
      <w:pPr>
        <w:pStyle w:val="Prrafodelista"/>
        <w:numPr>
          <w:ilvl w:val="0"/>
          <w:numId w:val="1"/>
        </w:numPr>
        <w:spacing w:line="360" w:lineRule="auto"/>
        <w:ind w:left="284" w:hanging="284"/>
        <w:jc w:val="both"/>
        <w:rPr>
          <w:rFonts w:ascii="Cambria" w:hAnsi="Cambria"/>
          <w:lang w:val="es-PE"/>
        </w:rPr>
      </w:pPr>
      <w:r>
        <w:rPr>
          <w:rFonts w:ascii="Cambria" w:hAnsi="Cambria"/>
          <w:lang w:val="es-PE"/>
        </w:rPr>
        <w:t>Se coloco Procedimiento de trabajo de FRAKMAL, que no tiene nada que ver con el suministro de agregados</w:t>
      </w:r>
      <w:r w:rsidR="00FE5B57">
        <w:rPr>
          <w:rFonts w:ascii="Cambria" w:hAnsi="Cambria"/>
          <w:lang w:val="es-PE"/>
        </w:rPr>
        <w:t>.</w:t>
      </w:r>
    </w:p>
    <w:p w14:paraId="3399D644" w14:textId="7B317823" w:rsidR="007824B2" w:rsidRPr="007824B2" w:rsidRDefault="007824B2" w:rsidP="007824B2">
      <w:pPr>
        <w:spacing w:line="360" w:lineRule="auto"/>
        <w:jc w:val="both"/>
        <w:rPr>
          <w:rFonts w:ascii="Cambria" w:hAnsi="Cambria"/>
          <w:b/>
          <w:i/>
          <w:lang w:val="es-PE"/>
        </w:rPr>
      </w:pPr>
      <w:r>
        <w:rPr>
          <w:rFonts w:ascii="Cambria" w:hAnsi="Cambria"/>
          <w:b/>
          <w:i/>
          <w:lang w:val="es-PE"/>
        </w:rPr>
        <w:t xml:space="preserve"> </w:t>
      </w:r>
      <w:r w:rsidRPr="007824B2">
        <w:rPr>
          <w:rFonts w:ascii="Cambria" w:hAnsi="Cambria"/>
          <w:b/>
          <w:i/>
          <w:lang w:val="es-PE"/>
        </w:rPr>
        <w:t xml:space="preserve">   </w:t>
      </w:r>
      <w:r w:rsidRPr="007824B2">
        <w:rPr>
          <w:rFonts w:ascii="Cambria" w:hAnsi="Cambria"/>
          <w:b/>
          <w:i/>
          <w:lang w:val="es-PE"/>
        </w:rPr>
        <w:t>Por favor NO considerar, se actualizará el TdR con lo indicado.</w:t>
      </w:r>
    </w:p>
    <w:p w14:paraId="3A6711B9" w14:textId="2F3C33BE" w:rsidR="00D9011D" w:rsidRPr="00226076" w:rsidRDefault="00D9011D" w:rsidP="007824B2">
      <w:pPr>
        <w:spacing w:line="360" w:lineRule="auto"/>
        <w:jc w:val="both"/>
        <w:rPr>
          <w:rFonts w:ascii="Cambria" w:hAnsi="Cambria"/>
          <w:color w:val="FF0000"/>
          <w:lang w:val="es-PE"/>
        </w:rPr>
      </w:pPr>
    </w:p>
    <w:sectPr w:rsidR="00D9011D" w:rsidRPr="00226076" w:rsidSect="008065BB">
      <w:pgSz w:w="12240" w:h="15840"/>
      <w:pgMar w:top="851" w:right="146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DD849BC"/>
    <w:multiLevelType w:val="hybridMultilevel"/>
    <w:tmpl w:val="965CABB8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6CE"/>
    <w:rsid w:val="000C04AD"/>
    <w:rsid w:val="000D055E"/>
    <w:rsid w:val="00121089"/>
    <w:rsid w:val="0015192C"/>
    <w:rsid w:val="00215B93"/>
    <w:rsid w:val="00226076"/>
    <w:rsid w:val="002B43BB"/>
    <w:rsid w:val="002D700F"/>
    <w:rsid w:val="002E0306"/>
    <w:rsid w:val="003C3E75"/>
    <w:rsid w:val="00427AE4"/>
    <w:rsid w:val="00710089"/>
    <w:rsid w:val="007824B2"/>
    <w:rsid w:val="008065BB"/>
    <w:rsid w:val="00876957"/>
    <w:rsid w:val="00880A32"/>
    <w:rsid w:val="008B330D"/>
    <w:rsid w:val="00B85D57"/>
    <w:rsid w:val="00C83D8F"/>
    <w:rsid w:val="00D9011D"/>
    <w:rsid w:val="00DE0331"/>
    <w:rsid w:val="00F406CE"/>
    <w:rsid w:val="00F70ADD"/>
    <w:rsid w:val="00F84E02"/>
    <w:rsid w:val="00FE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E993EE"/>
  <w15:chartTrackingRefBased/>
  <w15:docId w15:val="{F6F48028-970F-4E1A-8C23-272107868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40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85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309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TEMOCHE</dc:creator>
  <cp:keywords/>
  <dc:description/>
  <cp:lastModifiedBy>Lucero Caichihua Huauya</cp:lastModifiedBy>
  <cp:revision>2</cp:revision>
  <dcterms:created xsi:type="dcterms:W3CDTF">2023-10-05T15:40:00Z</dcterms:created>
  <dcterms:modified xsi:type="dcterms:W3CDTF">2023-10-05T15:40:00Z</dcterms:modified>
</cp:coreProperties>
</file>