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DAC529" w14:textId="77777777" w:rsidR="009231C2" w:rsidRPr="000F4859" w:rsidRDefault="00A42C44" w:rsidP="000F4859">
      <w:pPr>
        <w:spacing w:line="360" w:lineRule="auto"/>
        <w:jc w:val="both"/>
        <w:rPr>
          <w:rFonts w:ascii="Arial" w:hAnsi="Arial" w:cs="Arial"/>
          <w:b/>
          <w:lang w:val="es-ES"/>
        </w:rPr>
      </w:pPr>
      <w:r>
        <w:rPr>
          <w:rFonts w:ascii="Arial" w:hAnsi="Arial" w:cs="Arial"/>
          <w:b/>
          <w:lang w:val="es-ES"/>
        </w:rPr>
        <w:t>CONSIDERACIONES PARA EL CONTROL DE CALIDAD DURANTE LA EJECUCIÓN DEL ENROCADO</w:t>
      </w:r>
    </w:p>
    <w:p w14:paraId="58CABFD6" w14:textId="1BE26861" w:rsidR="001267F7" w:rsidRPr="000F4859" w:rsidRDefault="001267F7" w:rsidP="000F4859">
      <w:pPr>
        <w:pStyle w:val="Default"/>
        <w:spacing w:after="240" w:line="360" w:lineRule="auto"/>
        <w:jc w:val="both"/>
        <w:rPr>
          <w:sz w:val="22"/>
          <w:szCs w:val="22"/>
        </w:rPr>
      </w:pPr>
      <w:r w:rsidRPr="000F4859">
        <w:rPr>
          <w:b/>
          <w:bCs/>
          <w:sz w:val="22"/>
          <w:szCs w:val="22"/>
        </w:rPr>
        <w:t xml:space="preserve">Actividades y Controles </w:t>
      </w:r>
    </w:p>
    <w:p w14:paraId="752E5E03" w14:textId="6E7608E9" w:rsidR="001267F7" w:rsidRPr="000F4859" w:rsidRDefault="001267F7" w:rsidP="000F4859">
      <w:pPr>
        <w:pStyle w:val="Default"/>
        <w:numPr>
          <w:ilvl w:val="0"/>
          <w:numId w:val="23"/>
        </w:numPr>
        <w:spacing w:after="276" w:line="360" w:lineRule="auto"/>
        <w:ind w:left="426"/>
        <w:jc w:val="both"/>
        <w:rPr>
          <w:sz w:val="22"/>
          <w:szCs w:val="22"/>
        </w:rPr>
      </w:pPr>
      <w:r w:rsidRPr="000F4859">
        <w:rPr>
          <w:sz w:val="22"/>
          <w:szCs w:val="22"/>
        </w:rPr>
        <w:t xml:space="preserve">Antes de iniciar el proyecto se tendrá la designación y aprobación de canteras </w:t>
      </w:r>
      <w:r w:rsidR="00BC5878">
        <w:rPr>
          <w:sz w:val="22"/>
          <w:szCs w:val="22"/>
        </w:rPr>
        <w:t>y</w:t>
      </w:r>
      <w:r w:rsidRPr="000F4859">
        <w:rPr>
          <w:sz w:val="22"/>
          <w:szCs w:val="22"/>
        </w:rPr>
        <w:t xml:space="preserve"> zonas de </w:t>
      </w:r>
      <w:r w:rsidR="00BC5878">
        <w:rPr>
          <w:sz w:val="22"/>
          <w:szCs w:val="22"/>
        </w:rPr>
        <w:t>acopios</w:t>
      </w:r>
      <w:r w:rsidRPr="000F4859">
        <w:rPr>
          <w:sz w:val="22"/>
          <w:szCs w:val="22"/>
        </w:rPr>
        <w:t xml:space="preserve"> de </w:t>
      </w:r>
      <w:r w:rsidR="00BC5878">
        <w:rPr>
          <w:sz w:val="22"/>
          <w:szCs w:val="22"/>
        </w:rPr>
        <w:t>roca</w:t>
      </w:r>
      <w:r w:rsidRPr="000F4859">
        <w:rPr>
          <w:sz w:val="22"/>
          <w:szCs w:val="22"/>
        </w:rPr>
        <w:t xml:space="preserve"> para enrocado de los diques por parte </w:t>
      </w:r>
      <w:r w:rsidR="000F4859">
        <w:rPr>
          <w:sz w:val="22"/>
          <w:szCs w:val="22"/>
        </w:rPr>
        <w:t>de OHLA</w:t>
      </w:r>
      <w:r w:rsidRPr="000F4859">
        <w:rPr>
          <w:sz w:val="22"/>
          <w:szCs w:val="22"/>
        </w:rPr>
        <w:t xml:space="preserve">. El material que se obtendrá de las zonas designadas se verificará que cumplan con los requerimientos </w:t>
      </w:r>
      <w:r w:rsidR="000F4859">
        <w:rPr>
          <w:sz w:val="22"/>
          <w:szCs w:val="22"/>
        </w:rPr>
        <w:t xml:space="preserve">geométricos y físicos </w:t>
      </w:r>
      <w:r w:rsidRPr="000F4859">
        <w:rPr>
          <w:sz w:val="22"/>
          <w:szCs w:val="22"/>
        </w:rPr>
        <w:t>de la especificación técnica</w:t>
      </w:r>
      <w:r w:rsidR="00BC5878">
        <w:rPr>
          <w:sz w:val="22"/>
          <w:szCs w:val="22"/>
        </w:rPr>
        <w:t xml:space="preserve"> del subproyecto</w:t>
      </w:r>
      <w:r w:rsidRPr="000F4859">
        <w:rPr>
          <w:sz w:val="22"/>
          <w:szCs w:val="22"/>
        </w:rPr>
        <w:t xml:space="preserve">. </w:t>
      </w:r>
    </w:p>
    <w:p w14:paraId="35B0B648" w14:textId="644CBC47" w:rsidR="001267F7" w:rsidRPr="000F4859" w:rsidRDefault="001267F7" w:rsidP="000F4859">
      <w:pPr>
        <w:pStyle w:val="Default"/>
        <w:numPr>
          <w:ilvl w:val="0"/>
          <w:numId w:val="23"/>
        </w:numPr>
        <w:spacing w:line="360" w:lineRule="auto"/>
        <w:ind w:left="426"/>
        <w:jc w:val="both"/>
        <w:rPr>
          <w:sz w:val="22"/>
          <w:szCs w:val="22"/>
        </w:rPr>
      </w:pPr>
      <w:r w:rsidRPr="000F4859">
        <w:rPr>
          <w:sz w:val="22"/>
          <w:szCs w:val="22"/>
        </w:rPr>
        <w:t xml:space="preserve">Seguidamente deberá asegurarse el suministro de </w:t>
      </w:r>
      <w:r w:rsidR="000F4859">
        <w:rPr>
          <w:sz w:val="22"/>
          <w:szCs w:val="22"/>
        </w:rPr>
        <w:t>roca</w:t>
      </w:r>
      <w:r w:rsidRPr="000F4859">
        <w:rPr>
          <w:sz w:val="22"/>
          <w:szCs w:val="22"/>
        </w:rPr>
        <w:t xml:space="preserve"> para la conformación de las uñas</w:t>
      </w:r>
      <w:r w:rsidR="000F4859">
        <w:rPr>
          <w:sz w:val="22"/>
          <w:szCs w:val="22"/>
        </w:rPr>
        <w:t xml:space="preserve"> y</w:t>
      </w:r>
      <w:r w:rsidRPr="000F4859">
        <w:rPr>
          <w:sz w:val="22"/>
          <w:szCs w:val="22"/>
        </w:rPr>
        <w:t xml:space="preserve"> cuerpo </w:t>
      </w:r>
      <w:r w:rsidR="000F4859">
        <w:rPr>
          <w:sz w:val="22"/>
          <w:szCs w:val="22"/>
        </w:rPr>
        <w:t>del enrocado</w:t>
      </w:r>
      <w:r w:rsidRPr="000F4859">
        <w:rPr>
          <w:sz w:val="22"/>
          <w:szCs w:val="22"/>
        </w:rPr>
        <w:t xml:space="preserve">, previendo que </w:t>
      </w:r>
      <w:r w:rsidR="00AE4A94">
        <w:rPr>
          <w:sz w:val="22"/>
          <w:szCs w:val="22"/>
        </w:rPr>
        <w:t>los tamaños</w:t>
      </w:r>
      <w:r w:rsidRPr="000F4859">
        <w:rPr>
          <w:sz w:val="22"/>
          <w:szCs w:val="22"/>
        </w:rPr>
        <w:t xml:space="preserve"> y la gradación o distribución de tamaños del enrocado satisfagan los requerimientos de las Especificaciones Técnicas del proyecto, para lo cual </w:t>
      </w:r>
      <w:r w:rsidR="00BC5878">
        <w:rPr>
          <w:sz w:val="22"/>
          <w:szCs w:val="22"/>
        </w:rPr>
        <w:t xml:space="preserve">el </w:t>
      </w:r>
      <w:r w:rsidRPr="000F4859">
        <w:rPr>
          <w:sz w:val="22"/>
          <w:szCs w:val="22"/>
        </w:rPr>
        <w:t>Subcontratista</w:t>
      </w:r>
      <w:r w:rsidR="00BC5878">
        <w:rPr>
          <w:sz w:val="22"/>
          <w:szCs w:val="22"/>
        </w:rPr>
        <w:t xml:space="preserve"> debe</w:t>
      </w:r>
      <w:r w:rsidRPr="000F4859">
        <w:rPr>
          <w:sz w:val="22"/>
          <w:szCs w:val="22"/>
        </w:rPr>
        <w:t xml:space="preserve"> seguir </w:t>
      </w:r>
      <w:r w:rsidR="00AE4A94">
        <w:rPr>
          <w:sz w:val="22"/>
          <w:szCs w:val="22"/>
        </w:rPr>
        <w:t>las siguientes consideraciones</w:t>
      </w:r>
      <w:r w:rsidR="000F4859">
        <w:rPr>
          <w:sz w:val="22"/>
          <w:szCs w:val="22"/>
        </w:rPr>
        <w:t>:</w:t>
      </w:r>
    </w:p>
    <w:p w14:paraId="07290581" w14:textId="77777777" w:rsidR="000F4859" w:rsidRPr="004D5891" w:rsidRDefault="000F4859" w:rsidP="004D5891">
      <w:pPr>
        <w:pStyle w:val="Prrafodelista"/>
        <w:numPr>
          <w:ilvl w:val="0"/>
          <w:numId w:val="24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ind w:left="1134" w:hanging="425"/>
        <w:jc w:val="both"/>
        <w:rPr>
          <w:rFonts w:ascii="Arial" w:hAnsi="Arial" w:cs="Arial"/>
          <w:color w:val="000000"/>
        </w:rPr>
      </w:pPr>
      <w:r w:rsidRPr="004D5891">
        <w:rPr>
          <w:rFonts w:ascii="Arial" w:hAnsi="Arial" w:cs="Arial"/>
          <w:color w:val="000000"/>
        </w:rPr>
        <w:t xml:space="preserve">La fórmula de trabajo consiste en un procedimiento práctico que permita al Subcontratista garantizar la gradación considerada en el diseño. </w:t>
      </w:r>
    </w:p>
    <w:p w14:paraId="5CA42FD1" w14:textId="77777777" w:rsidR="00973D20" w:rsidRPr="00973D20" w:rsidRDefault="000F4859" w:rsidP="00973D20">
      <w:pPr>
        <w:pStyle w:val="Prrafodelista"/>
        <w:numPr>
          <w:ilvl w:val="0"/>
          <w:numId w:val="24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ind w:left="1134" w:hanging="425"/>
        <w:jc w:val="both"/>
      </w:pPr>
      <w:r w:rsidRPr="004D5891">
        <w:rPr>
          <w:rFonts w:ascii="Arial" w:hAnsi="Arial" w:cs="Arial"/>
          <w:color w:val="000000"/>
        </w:rPr>
        <w:t xml:space="preserve">La fórmula de trabajo se establece con base en determinaciones de pesos </w:t>
      </w:r>
      <w:r w:rsidR="00F938D5" w:rsidRPr="004D5891">
        <w:rPr>
          <w:rFonts w:ascii="Arial" w:hAnsi="Arial" w:cs="Arial"/>
          <w:color w:val="000000"/>
        </w:rPr>
        <w:t>y dimensiones</w:t>
      </w:r>
      <w:r w:rsidR="00973D20">
        <w:rPr>
          <w:rFonts w:ascii="Arial" w:hAnsi="Arial" w:cs="Arial"/>
          <w:color w:val="000000"/>
        </w:rPr>
        <w:t>.</w:t>
      </w:r>
      <w:r w:rsidR="00F938D5" w:rsidRPr="004D5891">
        <w:rPr>
          <w:rFonts w:ascii="Arial" w:hAnsi="Arial" w:cs="Arial"/>
          <w:color w:val="000000"/>
        </w:rPr>
        <w:t xml:space="preserve"> </w:t>
      </w:r>
    </w:p>
    <w:p w14:paraId="1A809AF1" w14:textId="3A032157" w:rsidR="00BC5878" w:rsidRPr="00254A80" w:rsidRDefault="00BC5878" w:rsidP="00973D20">
      <w:pPr>
        <w:pStyle w:val="Prrafodelista"/>
        <w:numPr>
          <w:ilvl w:val="0"/>
          <w:numId w:val="24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ind w:left="1134" w:hanging="425"/>
        <w:jc w:val="both"/>
        <w:rPr>
          <w:rFonts w:ascii="Arial" w:hAnsi="Arial" w:cs="Arial"/>
          <w:color w:val="000000"/>
        </w:rPr>
      </w:pPr>
      <w:r w:rsidRPr="00254A80">
        <w:rPr>
          <w:rFonts w:ascii="Arial" w:hAnsi="Arial" w:cs="Arial"/>
          <w:color w:val="000000"/>
        </w:rPr>
        <w:t>El Subcontratista debe realizar una preselección en los acopios de canteras, conforme a la granulometría según el tipo de espesor del enrocado (0.60m, 0.90m y 1.20m</w:t>
      </w:r>
      <w:r w:rsidR="00D02BD1" w:rsidRPr="00254A80">
        <w:rPr>
          <w:rFonts w:ascii="Arial" w:hAnsi="Arial" w:cs="Arial"/>
          <w:color w:val="000000"/>
        </w:rPr>
        <w:t>), dicha preselección será transportada en volquetes</w:t>
      </w:r>
      <w:r w:rsidR="00B64482">
        <w:rPr>
          <w:rFonts w:ascii="Arial" w:hAnsi="Arial" w:cs="Arial"/>
          <w:color w:val="000000"/>
        </w:rPr>
        <w:t xml:space="preserve"> hacía obra.</w:t>
      </w:r>
      <w:bookmarkStart w:id="0" w:name="_GoBack"/>
      <w:bookmarkEnd w:id="0"/>
    </w:p>
    <w:p w14:paraId="21CB3FBE" w14:textId="19B50134" w:rsidR="004D5891" w:rsidRPr="00254A80" w:rsidRDefault="00D02BD1" w:rsidP="00973D20">
      <w:pPr>
        <w:pStyle w:val="Prrafodelista"/>
        <w:numPr>
          <w:ilvl w:val="0"/>
          <w:numId w:val="24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ind w:left="1134" w:hanging="425"/>
        <w:jc w:val="both"/>
        <w:rPr>
          <w:rFonts w:ascii="Arial" w:hAnsi="Arial" w:cs="Arial"/>
          <w:color w:val="000000"/>
        </w:rPr>
      </w:pPr>
      <w:r w:rsidRPr="00254A80">
        <w:rPr>
          <w:rFonts w:ascii="Arial" w:hAnsi="Arial" w:cs="Arial"/>
          <w:color w:val="000000"/>
        </w:rPr>
        <w:t>El material de cantera transportado a obra deberá ser colocado longitudinalmente al dique a construir de tal forma de que un equipo mecánico (Excavadora) pueda realizar la dosificación respectiva conforme al expediente técnico.</w:t>
      </w:r>
    </w:p>
    <w:p w14:paraId="0D591532" w14:textId="2362DA7B" w:rsidR="000F4859" w:rsidRPr="00254A80" w:rsidRDefault="00D02BD1" w:rsidP="00973D20">
      <w:pPr>
        <w:pStyle w:val="Prrafodelista"/>
        <w:numPr>
          <w:ilvl w:val="0"/>
          <w:numId w:val="24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ind w:left="1134" w:hanging="425"/>
        <w:jc w:val="both"/>
        <w:rPr>
          <w:rFonts w:ascii="Arial" w:hAnsi="Arial" w:cs="Arial"/>
          <w:color w:val="000000"/>
        </w:rPr>
      </w:pPr>
      <w:r w:rsidRPr="00254A80">
        <w:rPr>
          <w:rFonts w:ascii="Arial" w:hAnsi="Arial" w:cs="Arial"/>
          <w:color w:val="000000"/>
        </w:rPr>
        <w:t>Antes de iniciar la colocación se deberá realizar una curva granulométrica representativa para garantizar el cumplimiento de las especificaciones técnicas.</w:t>
      </w:r>
    </w:p>
    <w:p w14:paraId="22646C97" w14:textId="3CBEB447" w:rsidR="00D02BD1" w:rsidRPr="00254A80" w:rsidRDefault="00D02BD1" w:rsidP="00973D20">
      <w:pPr>
        <w:pStyle w:val="Prrafodelista"/>
        <w:numPr>
          <w:ilvl w:val="0"/>
          <w:numId w:val="24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ind w:left="1134" w:hanging="425"/>
        <w:jc w:val="both"/>
        <w:rPr>
          <w:rFonts w:ascii="Arial" w:hAnsi="Arial" w:cs="Arial"/>
          <w:color w:val="000000"/>
        </w:rPr>
      </w:pPr>
      <w:r w:rsidRPr="00254A80">
        <w:rPr>
          <w:rFonts w:ascii="Arial" w:hAnsi="Arial" w:cs="Arial"/>
          <w:color w:val="000000"/>
        </w:rPr>
        <w:t xml:space="preserve">El procedimiento de control se realizará para </w:t>
      </w:r>
      <w:r w:rsidR="00254A80" w:rsidRPr="00254A80">
        <w:rPr>
          <w:rFonts w:ascii="Arial" w:hAnsi="Arial" w:cs="Arial"/>
          <w:color w:val="000000"/>
        </w:rPr>
        <w:t xml:space="preserve">todos los espesores de </w:t>
      </w:r>
      <w:r w:rsidRPr="00254A80">
        <w:rPr>
          <w:rFonts w:ascii="Arial" w:hAnsi="Arial" w:cs="Arial"/>
          <w:color w:val="000000"/>
        </w:rPr>
        <w:t>los diques cada 500 m</w:t>
      </w:r>
      <w:r w:rsidR="00254A80" w:rsidRPr="00254A80">
        <w:rPr>
          <w:rFonts w:ascii="Arial" w:hAnsi="Arial" w:cs="Arial"/>
          <w:color w:val="000000"/>
        </w:rPr>
        <w:t>.</w:t>
      </w:r>
    </w:p>
    <w:p w14:paraId="5E9AA810" w14:textId="056D668F" w:rsidR="00973D20" w:rsidRDefault="00254A80" w:rsidP="00973D20">
      <w:pPr>
        <w:pStyle w:val="Prrafodelista"/>
        <w:numPr>
          <w:ilvl w:val="0"/>
          <w:numId w:val="24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ind w:left="1134" w:hanging="425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Este </w:t>
      </w:r>
      <w:r w:rsidR="00973D20">
        <w:rPr>
          <w:rFonts w:ascii="Arial" w:hAnsi="Arial" w:cs="Arial"/>
          <w:color w:val="000000"/>
        </w:rPr>
        <w:t>trabajo será verificad</w:t>
      </w:r>
      <w:r>
        <w:rPr>
          <w:rFonts w:ascii="Arial" w:hAnsi="Arial" w:cs="Arial"/>
          <w:color w:val="000000"/>
        </w:rPr>
        <w:t>o</w:t>
      </w:r>
      <w:r w:rsidR="00973D20">
        <w:rPr>
          <w:rFonts w:ascii="Arial" w:hAnsi="Arial" w:cs="Arial"/>
          <w:color w:val="000000"/>
        </w:rPr>
        <w:t xml:space="preserve"> y aprobad</w:t>
      </w:r>
      <w:r>
        <w:rPr>
          <w:rFonts w:ascii="Arial" w:hAnsi="Arial" w:cs="Arial"/>
          <w:color w:val="000000"/>
        </w:rPr>
        <w:t>o</w:t>
      </w:r>
      <w:r w:rsidR="00973D20" w:rsidRPr="004D5891">
        <w:rPr>
          <w:rFonts w:ascii="Arial" w:hAnsi="Arial" w:cs="Arial"/>
          <w:color w:val="000000"/>
        </w:rPr>
        <w:t xml:space="preserve"> </w:t>
      </w:r>
      <w:r w:rsidR="00253FB8">
        <w:rPr>
          <w:rFonts w:ascii="Arial" w:hAnsi="Arial" w:cs="Arial"/>
          <w:color w:val="000000"/>
        </w:rPr>
        <w:t xml:space="preserve">por </w:t>
      </w:r>
      <w:r>
        <w:rPr>
          <w:rFonts w:ascii="Arial" w:hAnsi="Arial" w:cs="Arial"/>
          <w:color w:val="000000"/>
        </w:rPr>
        <w:t xml:space="preserve">el Contratista gestor </w:t>
      </w:r>
      <w:r w:rsidR="00973D20" w:rsidRPr="004D5891">
        <w:rPr>
          <w:rFonts w:ascii="Arial" w:hAnsi="Arial" w:cs="Arial"/>
          <w:color w:val="000000"/>
        </w:rPr>
        <w:t>OHLA, Supervisión de Calidad y ARCC, garantizando el cumplimiento del diseño aprobado</w:t>
      </w:r>
      <w:r w:rsidR="00253FB8">
        <w:rPr>
          <w:rFonts w:ascii="Arial" w:hAnsi="Arial" w:cs="Arial"/>
          <w:color w:val="000000"/>
        </w:rPr>
        <w:t>.</w:t>
      </w:r>
    </w:p>
    <w:p w14:paraId="2934936B" w14:textId="5E044231" w:rsidR="00254A80" w:rsidRDefault="00254A80" w:rsidP="00254A80">
      <w:pPr>
        <w:pStyle w:val="Prrafodelista"/>
        <w:numPr>
          <w:ilvl w:val="0"/>
          <w:numId w:val="24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ind w:left="1134" w:hanging="425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lastRenderedPageBreak/>
        <w:t>Cada dique del proyecto indicado en los planos, debe contar con su respectiva curva granulométrica como evidencia del cumplimiento del diseño aprobado.</w:t>
      </w:r>
    </w:p>
    <w:sectPr w:rsidR="00254A8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89141574"/>
    <w:multiLevelType w:val="hybridMultilevel"/>
    <w:tmpl w:val="958A3EB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8D73E440"/>
    <w:multiLevelType w:val="hybridMultilevel"/>
    <w:tmpl w:val="E2C6DAE3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9885B0E4"/>
    <w:multiLevelType w:val="hybridMultilevel"/>
    <w:tmpl w:val="BC9EF0D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B7ACCB56"/>
    <w:multiLevelType w:val="hybridMultilevel"/>
    <w:tmpl w:val="CC07C4C6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C4528DE1"/>
    <w:multiLevelType w:val="hybridMultilevel"/>
    <w:tmpl w:val="4B9307C7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D97C98C3"/>
    <w:multiLevelType w:val="hybridMultilevel"/>
    <w:tmpl w:val="0C1EE3CC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EF61DF5B"/>
    <w:multiLevelType w:val="hybridMultilevel"/>
    <w:tmpl w:val="11A289BB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F4185AFA"/>
    <w:multiLevelType w:val="hybridMultilevel"/>
    <w:tmpl w:val="600999C8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2043F9D4"/>
    <w:multiLevelType w:val="hybridMultilevel"/>
    <w:tmpl w:val="C053D16A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2D526A4A"/>
    <w:multiLevelType w:val="hybridMultilevel"/>
    <w:tmpl w:val="CC961908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BA7B03"/>
    <w:multiLevelType w:val="hybridMultilevel"/>
    <w:tmpl w:val="CEF8A400"/>
    <w:lvl w:ilvl="0" w:tplc="2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70A65A2"/>
    <w:multiLevelType w:val="hybridMultilevel"/>
    <w:tmpl w:val="B64FCEE2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39BE17C6"/>
    <w:multiLevelType w:val="hybridMultilevel"/>
    <w:tmpl w:val="51996BDC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43CDDE01"/>
    <w:multiLevelType w:val="hybridMultilevel"/>
    <w:tmpl w:val="5840115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4D8A1628"/>
    <w:multiLevelType w:val="hybridMultilevel"/>
    <w:tmpl w:val="F4E0B9D4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5DBE0327"/>
    <w:multiLevelType w:val="hybridMultilevel"/>
    <w:tmpl w:val="4F4EB8F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E1928EC"/>
    <w:multiLevelType w:val="hybridMultilevel"/>
    <w:tmpl w:val="05968CF7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61491486"/>
    <w:multiLevelType w:val="hybridMultilevel"/>
    <w:tmpl w:val="FF9B86E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6219F6D7"/>
    <w:multiLevelType w:val="hybridMultilevel"/>
    <w:tmpl w:val="32DC1DC2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 w15:restartNumberingAfterBreak="0">
    <w:nsid w:val="640A7EBA"/>
    <w:multiLevelType w:val="hybridMultilevel"/>
    <w:tmpl w:val="1A96EBE0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 w15:restartNumberingAfterBreak="0">
    <w:nsid w:val="65593796"/>
    <w:multiLevelType w:val="hybridMultilevel"/>
    <w:tmpl w:val="AAC7B603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 w15:restartNumberingAfterBreak="0">
    <w:nsid w:val="6C47D038"/>
    <w:multiLevelType w:val="hybridMultilevel"/>
    <w:tmpl w:val="183B8D0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 w15:restartNumberingAfterBreak="0">
    <w:nsid w:val="711050EB"/>
    <w:multiLevelType w:val="hybridMultilevel"/>
    <w:tmpl w:val="8198467A"/>
    <w:lvl w:ilvl="0" w:tplc="280A0009">
      <w:start w:val="1"/>
      <w:numFmt w:val="bullet"/>
      <w:lvlText w:val=""/>
      <w:lvlJc w:val="left"/>
      <w:pPr>
        <w:ind w:left="1854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3" w15:restartNumberingAfterBreak="0">
    <w:nsid w:val="72514EDD"/>
    <w:multiLevelType w:val="hybridMultilevel"/>
    <w:tmpl w:val="658AE4D4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6419123"/>
    <w:multiLevelType w:val="hybridMultilevel"/>
    <w:tmpl w:val="EAA3FD49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 w15:restartNumberingAfterBreak="0">
    <w:nsid w:val="76EE4B9A"/>
    <w:multiLevelType w:val="hybridMultilevel"/>
    <w:tmpl w:val="55F02980"/>
    <w:lvl w:ilvl="0" w:tplc="280A0003">
      <w:start w:val="1"/>
      <w:numFmt w:val="bullet"/>
      <w:lvlText w:val="o"/>
      <w:lvlJc w:val="left"/>
      <w:pPr>
        <w:ind w:left="1854" w:hanging="360"/>
      </w:pPr>
      <w:rPr>
        <w:rFonts w:ascii="Courier New" w:hAnsi="Courier New" w:cs="Courier New" w:hint="default"/>
      </w:rPr>
    </w:lvl>
    <w:lvl w:ilvl="1" w:tplc="280A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8"/>
  </w:num>
  <w:num w:numId="3">
    <w:abstractNumId w:val="11"/>
  </w:num>
  <w:num w:numId="4">
    <w:abstractNumId w:val="19"/>
  </w:num>
  <w:num w:numId="5">
    <w:abstractNumId w:val="1"/>
  </w:num>
  <w:num w:numId="6">
    <w:abstractNumId w:val="2"/>
  </w:num>
  <w:num w:numId="7">
    <w:abstractNumId w:val="12"/>
  </w:num>
  <w:num w:numId="8">
    <w:abstractNumId w:val="17"/>
  </w:num>
  <w:num w:numId="9">
    <w:abstractNumId w:val="16"/>
  </w:num>
  <w:num w:numId="10">
    <w:abstractNumId w:val="14"/>
  </w:num>
  <w:num w:numId="11">
    <w:abstractNumId w:val="13"/>
  </w:num>
  <w:num w:numId="12">
    <w:abstractNumId w:val="5"/>
  </w:num>
  <w:num w:numId="13">
    <w:abstractNumId w:val="24"/>
  </w:num>
  <w:num w:numId="14">
    <w:abstractNumId w:val="21"/>
  </w:num>
  <w:num w:numId="15">
    <w:abstractNumId w:val="8"/>
  </w:num>
  <w:num w:numId="16">
    <w:abstractNumId w:val="7"/>
  </w:num>
  <w:num w:numId="17">
    <w:abstractNumId w:val="3"/>
  </w:num>
  <w:num w:numId="18">
    <w:abstractNumId w:val="0"/>
  </w:num>
  <w:num w:numId="19">
    <w:abstractNumId w:val="4"/>
  </w:num>
  <w:num w:numId="20">
    <w:abstractNumId w:val="20"/>
  </w:num>
  <w:num w:numId="21">
    <w:abstractNumId w:val="23"/>
  </w:num>
  <w:num w:numId="22">
    <w:abstractNumId w:val="9"/>
  </w:num>
  <w:num w:numId="23">
    <w:abstractNumId w:val="10"/>
  </w:num>
  <w:num w:numId="24">
    <w:abstractNumId w:val="15"/>
  </w:num>
  <w:num w:numId="25">
    <w:abstractNumId w:val="22"/>
  </w:num>
  <w:num w:numId="26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46CA"/>
    <w:rsid w:val="000F4859"/>
    <w:rsid w:val="001267F7"/>
    <w:rsid w:val="00253FB8"/>
    <w:rsid w:val="00254A80"/>
    <w:rsid w:val="002D1053"/>
    <w:rsid w:val="004D5891"/>
    <w:rsid w:val="00803CD7"/>
    <w:rsid w:val="008A0195"/>
    <w:rsid w:val="009231C2"/>
    <w:rsid w:val="00973D20"/>
    <w:rsid w:val="009B0CCD"/>
    <w:rsid w:val="00A23F8B"/>
    <w:rsid w:val="00A42C44"/>
    <w:rsid w:val="00AE4A94"/>
    <w:rsid w:val="00B64482"/>
    <w:rsid w:val="00BC5878"/>
    <w:rsid w:val="00C446CA"/>
    <w:rsid w:val="00D02BD1"/>
    <w:rsid w:val="00F12701"/>
    <w:rsid w:val="00F93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21A2E8F"/>
  <w15:chartTrackingRefBased/>
  <w15:docId w15:val="{D3C001B9-27FD-4838-8A28-9213D4ADB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1267F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Prrafodelista">
    <w:name w:val="List Paragraph"/>
    <w:basedOn w:val="Normal"/>
    <w:uiPriority w:val="34"/>
    <w:qFormat/>
    <w:rsid w:val="000F485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308</Words>
  <Characters>1697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Obrascon Huarte Lain S.A. Suc. del Peru</Company>
  <LinksUpToDate>false</LinksUpToDate>
  <CharactersWithSpaces>2001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Ismael Carbajal Aranda</dc:creator>
  <cp:keywords/>
  <dc:description/>
  <cp:lastModifiedBy>David Rogelio Isla Alvarez</cp:lastModifiedBy>
  <cp:revision>4</cp:revision>
  <dcterms:created xsi:type="dcterms:W3CDTF">2023-09-19T16:01:00Z</dcterms:created>
  <dcterms:modified xsi:type="dcterms:W3CDTF">2023-09-19T18:54:00Z</dcterms:modified>
</cp:coreProperties>
</file>