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564A" w:rsidRDefault="00C9564A" w:rsidP="00C9564A">
      <w:pPr>
        <w:pStyle w:val="Ttulo2"/>
        <w:spacing w:before="240" w:line="276" w:lineRule="auto"/>
        <w:rPr>
          <w:rFonts w:eastAsia="Times New Roman"/>
          <w:b/>
          <w:bCs/>
          <w:sz w:val="28"/>
          <w:szCs w:val="28"/>
          <w:lang w:val="es-ES"/>
        </w:rPr>
      </w:pPr>
      <w:bookmarkStart w:id="0" w:name="_Toc101209397"/>
      <w:r>
        <w:rPr>
          <w:rFonts w:eastAsia="Times New Roman"/>
          <w:b/>
          <w:bCs/>
          <w:sz w:val="28"/>
          <w:szCs w:val="28"/>
          <w:lang w:val="es-ES"/>
        </w:rPr>
        <w:t>Relleno de uña con material propio</w:t>
      </w:r>
      <w:bookmarkEnd w:id="0"/>
      <w:r>
        <w:rPr>
          <w:rFonts w:eastAsia="Times New Roman"/>
          <w:b/>
          <w:bCs/>
          <w:sz w:val="28"/>
          <w:szCs w:val="28"/>
          <w:lang w:val="es-ES"/>
        </w:rPr>
        <w:t xml:space="preserve"> de río</w:t>
      </w:r>
    </w:p>
    <w:p w:rsidR="00C9564A" w:rsidRDefault="00C9564A" w:rsidP="00C9564A">
      <w:pPr>
        <w:pStyle w:val="Ttulo2"/>
        <w:spacing w:before="240" w:line="276" w:lineRule="auto"/>
        <w:rPr>
          <w:rFonts w:eastAsia="Times New Roman"/>
          <w:b/>
          <w:bCs/>
          <w:sz w:val="28"/>
          <w:szCs w:val="28"/>
          <w:lang w:val="es-ES"/>
        </w:rPr>
      </w:pPr>
    </w:p>
    <w:p w:rsidR="00C9564A" w:rsidRDefault="00C9564A" w:rsidP="00C9564A">
      <w:pPr>
        <w:spacing w:line="276" w:lineRule="auto"/>
        <w:ind w:left="709" w:right="272"/>
        <w:jc w:val="both"/>
        <w:rPr>
          <w:sz w:val="24"/>
          <w:szCs w:val="24"/>
        </w:rPr>
      </w:pPr>
      <w:r>
        <w:t xml:space="preserve">Este trabajo consiste en la colocación y conformación de material propio del rio para conformar el relleno sobre la uña del enrocado del dique, de manera que la zona de relleno quede nivelada de acuerdo a la superficie del cauce no pudiendo quedar hondonadas ni montículos. </w:t>
      </w:r>
    </w:p>
    <w:p w:rsidR="00C9564A" w:rsidRDefault="00C9564A" w:rsidP="00C9564A">
      <w:pPr>
        <w:spacing w:line="276" w:lineRule="auto"/>
        <w:ind w:left="709" w:right="272"/>
        <w:jc w:val="both"/>
      </w:pPr>
    </w:p>
    <w:p w:rsidR="00C9564A" w:rsidRDefault="00C9564A" w:rsidP="00C9564A">
      <w:pPr>
        <w:spacing w:line="276" w:lineRule="auto"/>
        <w:ind w:left="709" w:right="272"/>
        <w:jc w:val="both"/>
      </w:pPr>
      <w:r>
        <w:t>Los rellenos deberán ser construidos según el trazo, alineamientos y secciones transversales indicadas en los planos de diseño.</w:t>
      </w:r>
    </w:p>
    <w:p w:rsidR="00C9564A" w:rsidRDefault="00C9564A" w:rsidP="00C9564A">
      <w:pPr>
        <w:spacing w:line="276" w:lineRule="auto"/>
        <w:ind w:left="709" w:right="272"/>
        <w:jc w:val="both"/>
      </w:pPr>
    </w:p>
    <w:p w:rsidR="00C9564A" w:rsidRDefault="00C9564A" w:rsidP="00C9564A">
      <w:pPr>
        <w:spacing w:line="276" w:lineRule="auto"/>
        <w:ind w:left="709" w:right="272"/>
        <w:jc w:val="both"/>
      </w:pPr>
      <w:r>
        <w:t>El subcontratista está obligado a respetar las consideraciones establecidas en las EE.TT, así mismo eliminará el material excedente si lo hubiera.</w:t>
      </w:r>
    </w:p>
    <w:p w:rsidR="00C9564A" w:rsidRDefault="00C9564A" w:rsidP="00C9564A">
      <w:pPr>
        <w:spacing w:line="276" w:lineRule="auto"/>
        <w:ind w:left="709" w:right="272"/>
        <w:jc w:val="both"/>
      </w:pPr>
    </w:p>
    <w:p w:rsidR="00C9564A" w:rsidRDefault="00C9564A" w:rsidP="00C9564A">
      <w:pPr>
        <w:spacing w:line="276" w:lineRule="auto"/>
        <w:ind w:left="709" w:right="272"/>
        <w:jc w:val="both"/>
      </w:pPr>
      <w:r>
        <w:t>Es responsabilidad del subcontratista de presentar su propio plan de trabajo detallado, considerando dentro del proceso las buenas prácticas constructivas que conlleven con la ejecución de actividades validadas por el área de calidad, contemplando la seguridad en el trabajo.</w:t>
      </w:r>
    </w:p>
    <w:p w:rsidR="00C9564A" w:rsidRDefault="00C9564A" w:rsidP="00C9564A">
      <w:pPr>
        <w:spacing w:line="276" w:lineRule="auto"/>
        <w:ind w:left="709" w:right="272"/>
        <w:jc w:val="both"/>
      </w:pPr>
    </w:p>
    <w:p w:rsidR="00C9564A" w:rsidRDefault="00C9564A" w:rsidP="00C9564A">
      <w:pPr>
        <w:spacing w:line="276" w:lineRule="auto"/>
        <w:ind w:left="709" w:right="272"/>
        <w:jc w:val="both"/>
      </w:pPr>
      <w:r>
        <w:t xml:space="preserve">La unidad de medida para el pago es por metro cubico (m3). Para la valorización es necesario resaltar que los volúmenes consideradas en los </w:t>
      </w:r>
      <w:proofErr w:type="spellStart"/>
      <w:r>
        <w:t>metrados</w:t>
      </w:r>
      <w:proofErr w:type="spellEnd"/>
      <w:r>
        <w:t xml:space="preserve"> serán medidos por topografía, de acuerdo a la caja de diseño del cauce, los mismos que serán reconocidos mediante protocolos de liberación por el área de calidad</w:t>
      </w:r>
      <w:r>
        <w:t>.</w:t>
      </w:r>
      <w:bookmarkStart w:id="1" w:name="_GoBack"/>
      <w:bookmarkEnd w:id="1"/>
    </w:p>
    <w:p w:rsidR="00FE1F4A" w:rsidRDefault="00FE1F4A"/>
    <w:sectPr w:rsidR="00FE1F4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F3F60"/>
    <w:multiLevelType w:val="multilevel"/>
    <w:tmpl w:val="17489DDA"/>
    <w:lvl w:ilvl="0">
      <w:start w:val="3"/>
      <w:numFmt w:val="decimal"/>
      <w:lvlText w:val="%1."/>
      <w:lvlJc w:val="left"/>
      <w:pPr>
        <w:ind w:left="432" w:hanging="432"/>
      </w:pPr>
    </w:lvl>
    <w:lvl w:ilvl="1">
      <w:start w:val="1"/>
      <w:numFmt w:val="decimal"/>
      <w:lvlText w:val="%1.%2."/>
      <w:lvlJc w:val="left"/>
      <w:pPr>
        <w:ind w:left="890" w:hanging="720"/>
      </w:pPr>
    </w:lvl>
    <w:lvl w:ilvl="2">
      <w:start w:val="1"/>
      <w:numFmt w:val="decimal"/>
      <w:lvlText w:val="%1.%2.%3."/>
      <w:lvlJc w:val="left"/>
      <w:pPr>
        <w:ind w:left="1003" w:hanging="720"/>
      </w:pPr>
    </w:lvl>
    <w:lvl w:ilvl="3">
      <w:start w:val="1"/>
      <w:numFmt w:val="decimal"/>
      <w:lvlText w:val="%1.%2.%3.%4."/>
      <w:lvlJc w:val="left"/>
      <w:pPr>
        <w:ind w:left="1590" w:hanging="1080"/>
      </w:pPr>
    </w:lvl>
    <w:lvl w:ilvl="4">
      <w:start w:val="1"/>
      <w:numFmt w:val="decimal"/>
      <w:lvlText w:val="%1.%2.%3.%4.%5."/>
      <w:lvlJc w:val="left"/>
      <w:pPr>
        <w:ind w:left="1760" w:hanging="1080"/>
      </w:pPr>
    </w:lvl>
    <w:lvl w:ilvl="5">
      <w:start w:val="1"/>
      <w:numFmt w:val="decimal"/>
      <w:lvlText w:val="%1.%2.%3.%4.%5.%6."/>
      <w:lvlJc w:val="left"/>
      <w:pPr>
        <w:ind w:left="2290" w:hanging="1440"/>
      </w:pPr>
    </w:lvl>
    <w:lvl w:ilvl="6">
      <w:start w:val="1"/>
      <w:numFmt w:val="decimal"/>
      <w:lvlText w:val="%1.%2.%3.%4.%5.%6.%7."/>
      <w:lvlJc w:val="left"/>
      <w:pPr>
        <w:ind w:left="2820" w:hanging="1800"/>
      </w:pPr>
    </w:lvl>
    <w:lvl w:ilvl="7">
      <w:start w:val="1"/>
      <w:numFmt w:val="decimal"/>
      <w:lvlText w:val="%1.%2.%3.%4.%5.%6.%7.%8."/>
      <w:lvlJc w:val="left"/>
      <w:pPr>
        <w:ind w:left="2990" w:hanging="1800"/>
      </w:pPr>
    </w:lvl>
    <w:lvl w:ilvl="8">
      <w:start w:val="1"/>
      <w:numFmt w:val="decimal"/>
      <w:lvlText w:val="%1.%2.%3.%4.%5.%6.%7.%8.%9."/>
      <w:lvlJc w:val="left"/>
      <w:pPr>
        <w:ind w:left="3520" w:hanging="2160"/>
      </w:pPr>
    </w:lvl>
  </w:abstractNum>
  <w:num w:numId="1">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64A"/>
    <w:rsid w:val="00C9564A"/>
    <w:rsid w:val="00FE1F4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A7BAD"/>
  <w15:chartTrackingRefBased/>
  <w15:docId w15:val="{420ED4D0-8951-4388-96BE-B8A37BAFC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9564A"/>
    <w:pPr>
      <w:spacing w:after="0" w:line="240" w:lineRule="auto"/>
    </w:pPr>
    <w:rPr>
      <w:rFonts w:ascii="Calibri" w:hAnsi="Calibri" w:cs="Calibri"/>
    </w:rPr>
  </w:style>
  <w:style w:type="paragraph" w:styleId="Ttulo2">
    <w:name w:val="heading 2"/>
    <w:basedOn w:val="Normal"/>
    <w:link w:val="Ttulo2Car"/>
    <w:uiPriority w:val="9"/>
    <w:semiHidden/>
    <w:unhideWhenUsed/>
    <w:qFormat/>
    <w:rsid w:val="00C9564A"/>
    <w:pPr>
      <w:keepNext/>
      <w:spacing w:before="1400"/>
      <w:outlineLvl w:val="1"/>
    </w:pPr>
    <w:rPr>
      <w:color w:val="44546A"/>
      <w:sz w:val="68"/>
      <w:szCs w:val="6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semiHidden/>
    <w:rsid w:val="00C9564A"/>
    <w:rPr>
      <w:rFonts w:ascii="Calibri" w:hAnsi="Calibri" w:cs="Calibri"/>
      <w:color w:val="44546A"/>
      <w:sz w:val="68"/>
      <w:szCs w:val="6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3041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182</Words>
  <Characters>1004</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Obrascon Huarte Lain S.A. Suc. del Peru</Company>
  <LinksUpToDate>false</LinksUpToDate>
  <CharactersWithSpaces>1184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Jimmy JhonatanPalacios Herrera</dc:creator>
  <cp:keywords/>
  <dc:description/>
  <cp:lastModifiedBy>Juan Jimmy JhonatanPalacios Herrera</cp:lastModifiedBy>
  <cp:revision>1</cp:revision>
  <dcterms:created xsi:type="dcterms:W3CDTF">2022-04-25T13:06:00Z</dcterms:created>
  <dcterms:modified xsi:type="dcterms:W3CDTF">2022-04-25T13:08:00Z</dcterms:modified>
</cp:coreProperties>
</file>