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E7E6B" w:rsidRPr="008E3B25" w:rsidRDefault="0014792C" w:rsidP="008E3B25">
      <w:pPr>
        <w:jc w:val="center"/>
        <w:rPr>
          <w:b/>
          <w:sz w:val="24"/>
          <w:u w:val="single"/>
        </w:rPr>
      </w:pPr>
      <w:bookmarkStart w:id="0" w:name="_Hlk126927509"/>
      <w:r>
        <w:rPr>
          <w:b/>
          <w:sz w:val="24"/>
          <w:u w:val="single"/>
        </w:rPr>
        <w:t xml:space="preserve">Resumen de </w:t>
      </w:r>
      <w:r w:rsidR="008E3B25" w:rsidRPr="008E3B25">
        <w:rPr>
          <w:b/>
          <w:sz w:val="24"/>
          <w:u w:val="single"/>
        </w:rPr>
        <w:t>Observaciones</w:t>
      </w:r>
      <w:r>
        <w:rPr>
          <w:b/>
          <w:sz w:val="24"/>
          <w:u w:val="single"/>
        </w:rPr>
        <w:t xml:space="preserve"> y comentarios</w:t>
      </w:r>
      <w:r w:rsidR="000D34C3">
        <w:rPr>
          <w:b/>
          <w:sz w:val="24"/>
          <w:u w:val="single"/>
        </w:rPr>
        <w:t xml:space="preserve"> </w:t>
      </w:r>
      <w:r w:rsidR="000D34C3" w:rsidRPr="008E3B25">
        <w:rPr>
          <w:b/>
          <w:sz w:val="24"/>
          <w:u w:val="single"/>
        </w:rPr>
        <w:t>MT2 Cañete</w:t>
      </w:r>
      <w:r w:rsidR="000D34C3">
        <w:rPr>
          <w:b/>
          <w:sz w:val="24"/>
          <w:u w:val="single"/>
        </w:rPr>
        <w:t xml:space="preserve"> </w:t>
      </w:r>
      <w:bookmarkEnd w:id="0"/>
      <w:r w:rsidR="000D34C3">
        <w:rPr>
          <w:b/>
          <w:sz w:val="24"/>
          <w:u w:val="single"/>
        </w:rPr>
        <w:t>-</w:t>
      </w:r>
      <w:r w:rsidR="008E3B25" w:rsidRPr="008E3B25">
        <w:rPr>
          <w:b/>
          <w:sz w:val="24"/>
          <w:u w:val="single"/>
        </w:rPr>
        <w:t xml:space="preserve"> OHLA</w:t>
      </w:r>
    </w:p>
    <w:p w:rsidR="008E3B25" w:rsidRPr="008E3B25" w:rsidRDefault="008E3B25" w:rsidP="000D34C3">
      <w:pPr>
        <w:jc w:val="both"/>
        <w:rPr>
          <w:b/>
        </w:rPr>
      </w:pPr>
      <w:r w:rsidRPr="008E3B25">
        <w:rPr>
          <w:b/>
        </w:rPr>
        <w:t>B1. Experiencias similares internacionales y nacionales</w:t>
      </w:r>
    </w:p>
    <w:p w:rsidR="008E3B25" w:rsidRPr="008E3B25" w:rsidRDefault="008E3B25" w:rsidP="000D34C3">
      <w:pPr>
        <w:ind w:left="426"/>
        <w:jc w:val="both"/>
      </w:pPr>
      <w:r w:rsidRPr="008E3B25">
        <w:t>Sin observaciones</w:t>
      </w:r>
    </w:p>
    <w:p w:rsidR="008E3B25" w:rsidRPr="008E3B25" w:rsidRDefault="008E3B25" w:rsidP="000D34C3">
      <w:pPr>
        <w:jc w:val="both"/>
        <w:rPr>
          <w:b/>
        </w:rPr>
      </w:pPr>
      <w:r w:rsidRPr="008E3B25">
        <w:rPr>
          <w:b/>
        </w:rPr>
        <w:t>B</w:t>
      </w:r>
      <w:r>
        <w:rPr>
          <w:b/>
        </w:rPr>
        <w:t>2</w:t>
      </w:r>
      <w:r w:rsidRPr="008E3B25">
        <w:rPr>
          <w:b/>
        </w:rPr>
        <w:t>. Organigrama y Personal Clave</w:t>
      </w:r>
    </w:p>
    <w:p w:rsidR="008E3B25" w:rsidRPr="008E3B25" w:rsidRDefault="008E3B25" w:rsidP="000D34C3">
      <w:pPr>
        <w:ind w:left="426"/>
        <w:jc w:val="both"/>
      </w:pPr>
      <w:r w:rsidRPr="008E3B25">
        <w:t>Sin observaciones</w:t>
      </w:r>
    </w:p>
    <w:p w:rsidR="008E3B25" w:rsidRPr="008E3B25" w:rsidRDefault="008E3B25" w:rsidP="000D34C3">
      <w:pPr>
        <w:jc w:val="both"/>
        <w:rPr>
          <w:b/>
        </w:rPr>
      </w:pPr>
      <w:r w:rsidRPr="008E3B25">
        <w:rPr>
          <w:b/>
        </w:rPr>
        <w:t>B</w:t>
      </w:r>
      <w:r>
        <w:rPr>
          <w:b/>
        </w:rPr>
        <w:t>3</w:t>
      </w:r>
      <w:r w:rsidRPr="008E3B25">
        <w:rPr>
          <w:b/>
        </w:rPr>
        <w:t>.</w:t>
      </w:r>
      <w:r w:rsidRPr="008E3B25">
        <w:t xml:space="preserve"> </w:t>
      </w:r>
      <w:r w:rsidRPr="008E3B25">
        <w:rPr>
          <w:b/>
        </w:rPr>
        <w:t>Plan de Seguridad y Salud Ocupacional</w:t>
      </w:r>
    </w:p>
    <w:p w:rsidR="00833A1A" w:rsidRDefault="00833A1A" w:rsidP="000D34C3">
      <w:pPr>
        <w:ind w:left="426"/>
        <w:jc w:val="both"/>
      </w:pPr>
      <w:r w:rsidRPr="00833A1A">
        <w:rPr>
          <w:highlight w:val="yellow"/>
        </w:rPr>
        <w:t>Observación:</w:t>
      </w:r>
    </w:p>
    <w:p w:rsidR="008E3B25" w:rsidRDefault="008E3B25" w:rsidP="000D34C3">
      <w:pPr>
        <w:ind w:left="426"/>
        <w:jc w:val="both"/>
        <w:rPr>
          <w:b/>
          <w:color w:val="FF0000"/>
        </w:rPr>
      </w:pPr>
      <w:r w:rsidRPr="008E3B25">
        <w:t xml:space="preserve">El Plan de Seguridad presentado cumple parcialmente ya que este está alineado </w:t>
      </w:r>
      <w:r w:rsidR="00DB15BF">
        <w:t>principalmente</w:t>
      </w:r>
      <w:r w:rsidRPr="008E3B25">
        <w:t xml:space="preserve"> al sector minería según la normativa minera, en algunos Ítem estos son transversales a todos los sectores, pero no aplican totalmente al sector construcción.</w:t>
      </w:r>
      <w:r>
        <w:t xml:space="preserve"> </w:t>
      </w:r>
    </w:p>
    <w:p w:rsidR="008E3B25" w:rsidRPr="008E3B25" w:rsidRDefault="008E3B25" w:rsidP="000D34C3">
      <w:pPr>
        <w:jc w:val="both"/>
        <w:rPr>
          <w:b/>
        </w:rPr>
      </w:pPr>
      <w:r w:rsidRPr="008E3B25">
        <w:rPr>
          <w:b/>
        </w:rPr>
        <w:t>B</w:t>
      </w:r>
      <w:r>
        <w:rPr>
          <w:b/>
        </w:rPr>
        <w:t>4</w:t>
      </w:r>
      <w:r w:rsidRPr="008E3B25">
        <w:rPr>
          <w:b/>
        </w:rPr>
        <w:t>. Plan de Manejo Ambiental Operativo</w:t>
      </w:r>
    </w:p>
    <w:p w:rsidR="008E3B25" w:rsidRDefault="008E3B25" w:rsidP="000D34C3">
      <w:pPr>
        <w:ind w:left="426"/>
        <w:jc w:val="both"/>
      </w:pPr>
      <w:r>
        <w:t>Sin observaciones</w:t>
      </w:r>
    </w:p>
    <w:p w:rsidR="008E3B25" w:rsidRPr="008E3B25" w:rsidRDefault="008E3B25" w:rsidP="000D34C3">
      <w:pPr>
        <w:jc w:val="both"/>
        <w:rPr>
          <w:b/>
        </w:rPr>
      </w:pPr>
      <w:r w:rsidRPr="008E3B25">
        <w:rPr>
          <w:b/>
        </w:rPr>
        <w:t>B</w:t>
      </w:r>
      <w:r>
        <w:rPr>
          <w:b/>
        </w:rPr>
        <w:t>5</w:t>
      </w:r>
      <w:r w:rsidRPr="008E3B25">
        <w:rPr>
          <w:b/>
        </w:rPr>
        <w:t>.</w:t>
      </w:r>
      <w:r w:rsidRPr="008E3B25">
        <w:t xml:space="preserve"> </w:t>
      </w:r>
      <w:r w:rsidRPr="008E3B25">
        <w:rPr>
          <w:b/>
        </w:rPr>
        <w:t>Plan de Calidad</w:t>
      </w:r>
    </w:p>
    <w:p w:rsidR="00833A1A" w:rsidRDefault="00833A1A" w:rsidP="00833A1A">
      <w:pPr>
        <w:ind w:left="426"/>
        <w:jc w:val="both"/>
      </w:pPr>
      <w:r w:rsidRPr="00833A1A">
        <w:rPr>
          <w:highlight w:val="yellow"/>
        </w:rPr>
        <w:t>Observación:</w:t>
      </w:r>
    </w:p>
    <w:p w:rsidR="008E3B25" w:rsidRDefault="008E3B25" w:rsidP="000D34C3">
      <w:pPr>
        <w:ind w:left="426"/>
        <w:jc w:val="both"/>
        <w:rPr>
          <w:b/>
          <w:color w:val="FF0000"/>
        </w:rPr>
      </w:pPr>
      <w:r w:rsidRPr="008E3B25">
        <w:t xml:space="preserve">El Plan de Calidad presentado ha sido elaborado en su acuerdo a la guía ISO 10005:2018, pero no contempla cómo se </w:t>
      </w:r>
      <w:r w:rsidRPr="00AB671C">
        <w:t xml:space="preserve">gestionará la propiedad del cliente ni establece </w:t>
      </w:r>
      <w:r w:rsidRPr="008E3B25">
        <w:t>objetivos de calidad.</w:t>
      </w:r>
      <w:r>
        <w:t xml:space="preserve"> </w:t>
      </w:r>
    </w:p>
    <w:p w:rsidR="008E3B25" w:rsidRPr="008E3B25" w:rsidRDefault="008E3B25" w:rsidP="000D34C3">
      <w:pPr>
        <w:jc w:val="both"/>
        <w:rPr>
          <w:b/>
        </w:rPr>
      </w:pPr>
      <w:r w:rsidRPr="008E3B25">
        <w:rPr>
          <w:b/>
        </w:rPr>
        <w:t>B</w:t>
      </w:r>
      <w:r>
        <w:rPr>
          <w:b/>
        </w:rPr>
        <w:t>6</w:t>
      </w:r>
      <w:r w:rsidRPr="008E3B25">
        <w:rPr>
          <w:b/>
        </w:rPr>
        <w:t>. Relación de Equipos a utilizar en obra</w:t>
      </w:r>
      <w:bookmarkStart w:id="1" w:name="_GoBack"/>
      <w:bookmarkEnd w:id="1"/>
    </w:p>
    <w:p w:rsidR="008E3B25" w:rsidRDefault="008E3B25" w:rsidP="000D34C3">
      <w:pPr>
        <w:ind w:left="426"/>
        <w:jc w:val="both"/>
      </w:pPr>
      <w:r>
        <w:t>Sin observaciones</w:t>
      </w:r>
    </w:p>
    <w:p w:rsidR="00271B3B" w:rsidRPr="008E3B25" w:rsidRDefault="00271B3B" w:rsidP="000D34C3">
      <w:pPr>
        <w:jc w:val="both"/>
        <w:rPr>
          <w:b/>
        </w:rPr>
      </w:pPr>
      <w:r w:rsidRPr="00271B3B">
        <w:rPr>
          <w:b/>
        </w:rPr>
        <w:t>B7. Plan de Ejecución del Proyecto (PEP)</w:t>
      </w:r>
    </w:p>
    <w:p w:rsidR="00833A1A" w:rsidRDefault="00833A1A" w:rsidP="00833A1A">
      <w:pPr>
        <w:ind w:left="426"/>
        <w:jc w:val="both"/>
      </w:pPr>
      <w:r w:rsidRPr="00833A1A">
        <w:rPr>
          <w:highlight w:val="yellow"/>
        </w:rPr>
        <w:t>Observación:</w:t>
      </w:r>
    </w:p>
    <w:p w:rsidR="00C16235" w:rsidRPr="00C16235" w:rsidRDefault="00C16235" w:rsidP="000D34C3">
      <w:pPr>
        <w:ind w:left="426"/>
        <w:jc w:val="both"/>
        <w:rPr>
          <w:u w:val="single"/>
        </w:rPr>
      </w:pPr>
      <w:r w:rsidRPr="00C16235">
        <w:rPr>
          <w:u w:val="single"/>
        </w:rPr>
        <w:t>Secuencia constructiva:</w:t>
      </w:r>
    </w:p>
    <w:p w:rsidR="00271B3B" w:rsidRDefault="00C16235" w:rsidP="000D34C3">
      <w:pPr>
        <w:ind w:left="426"/>
        <w:jc w:val="both"/>
      </w:pPr>
      <w:r w:rsidRPr="00C16235">
        <w:t>Las obras de interferencias (obras civiles), dependen de la construcción de los diques. Por lo que su predecesora para cada cruce, depende del término de cada dique.</w:t>
      </w:r>
    </w:p>
    <w:p w:rsidR="00271B3B" w:rsidRPr="008E3B25" w:rsidRDefault="00271B3B" w:rsidP="000D34C3">
      <w:pPr>
        <w:jc w:val="both"/>
        <w:rPr>
          <w:b/>
        </w:rPr>
      </w:pPr>
      <w:r w:rsidRPr="008E3B25">
        <w:rPr>
          <w:b/>
        </w:rPr>
        <w:t>B</w:t>
      </w:r>
      <w:r>
        <w:rPr>
          <w:b/>
        </w:rPr>
        <w:t>8</w:t>
      </w:r>
      <w:r w:rsidRPr="008E3B25">
        <w:rPr>
          <w:b/>
        </w:rPr>
        <w:t xml:space="preserve">. </w:t>
      </w:r>
      <w:r w:rsidRPr="00271B3B">
        <w:rPr>
          <w:b/>
        </w:rPr>
        <w:t>Cronograma e histograma de Mano de obra y equipos</w:t>
      </w:r>
    </w:p>
    <w:p w:rsidR="00833A1A" w:rsidRDefault="00833A1A" w:rsidP="00833A1A">
      <w:pPr>
        <w:ind w:left="426"/>
        <w:jc w:val="both"/>
      </w:pPr>
      <w:r w:rsidRPr="00833A1A">
        <w:rPr>
          <w:highlight w:val="yellow"/>
        </w:rPr>
        <w:t>Observación:</w:t>
      </w:r>
    </w:p>
    <w:p w:rsidR="00C16235" w:rsidRPr="00C16235" w:rsidRDefault="00C16235" w:rsidP="000D34C3">
      <w:pPr>
        <w:ind w:left="426"/>
        <w:jc w:val="both"/>
        <w:rPr>
          <w:u w:val="single"/>
        </w:rPr>
      </w:pPr>
      <w:r w:rsidRPr="00C16235">
        <w:rPr>
          <w:u w:val="single"/>
        </w:rPr>
        <w:t>Cronograma de obra en Primavera P6 que respete la secuencia lógica constructiva:</w:t>
      </w:r>
    </w:p>
    <w:p w:rsidR="00C16235" w:rsidRDefault="00C16235" w:rsidP="000D34C3">
      <w:pPr>
        <w:ind w:left="426"/>
        <w:jc w:val="both"/>
      </w:pPr>
      <w:r>
        <w:t xml:space="preserve">Las obras de interferencias (obras civiles), </w:t>
      </w:r>
      <w:r w:rsidR="00797974">
        <w:t>dependen</w:t>
      </w:r>
      <w:r>
        <w:t xml:space="preserve"> de la construcción de los diques. Por lo que su predecesora para cada cruce, depende del </w:t>
      </w:r>
      <w:r w:rsidR="00797974">
        <w:t>término</w:t>
      </w:r>
      <w:r>
        <w:t xml:space="preserve"> de cada dique.</w:t>
      </w:r>
    </w:p>
    <w:p w:rsidR="00C16235" w:rsidRDefault="00C16235" w:rsidP="000D34C3">
      <w:pPr>
        <w:ind w:left="426"/>
        <w:jc w:val="both"/>
      </w:pPr>
      <w:r>
        <w:t xml:space="preserve">El cronograma no cuenta con un </w:t>
      </w:r>
      <w:r w:rsidR="00797974">
        <w:t>cálculo</w:t>
      </w:r>
      <w:r>
        <w:t xml:space="preserve"> de duraciones referenciales, aclaraciones y supuestos.</w:t>
      </w:r>
    </w:p>
    <w:p w:rsidR="00C16235" w:rsidRPr="00797974" w:rsidRDefault="00C16235" w:rsidP="000D34C3">
      <w:pPr>
        <w:ind w:left="426"/>
        <w:jc w:val="both"/>
        <w:rPr>
          <w:u w:val="single"/>
        </w:rPr>
      </w:pPr>
      <w:r w:rsidRPr="00797974">
        <w:rPr>
          <w:u w:val="single"/>
        </w:rPr>
        <w:t>Cronograma de Adquisición de Materiales</w:t>
      </w:r>
    </w:p>
    <w:p w:rsidR="008E3B25" w:rsidRDefault="00C16235" w:rsidP="000D34C3">
      <w:pPr>
        <w:ind w:left="426"/>
        <w:jc w:val="both"/>
      </w:pPr>
      <w:r>
        <w:lastRenderedPageBreak/>
        <w:t>El cronograma de adquisiciones no guarda relación con el cronograma de ejecución (las interferencias están previstas hasta setiembre, sin embargo, el plan de adquisiciones hasta noviembre'23).</w:t>
      </w:r>
    </w:p>
    <w:p w:rsidR="009E7CF4" w:rsidRPr="008E3B25" w:rsidRDefault="009E7CF4" w:rsidP="000D34C3">
      <w:pPr>
        <w:jc w:val="both"/>
        <w:rPr>
          <w:b/>
        </w:rPr>
      </w:pPr>
      <w:r>
        <w:rPr>
          <w:b/>
        </w:rPr>
        <w:t>C1. Oferta económica</w:t>
      </w:r>
    </w:p>
    <w:p w:rsidR="00655B00" w:rsidRPr="00655B00" w:rsidRDefault="00655B00" w:rsidP="00655B00">
      <w:pPr>
        <w:ind w:left="426"/>
        <w:jc w:val="both"/>
        <w:rPr>
          <w:highlight w:val="yellow"/>
        </w:rPr>
      </w:pPr>
      <w:r w:rsidRPr="00655B00">
        <w:rPr>
          <w:highlight w:val="yellow"/>
        </w:rPr>
        <w:t>Observación</w:t>
      </w:r>
    </w:p>
    <w:p w:rsidR="00655B00" w:rsidRPr="00655B00" w:rsidRDefault="00655B00" w:rsidP="00655B00">
      <w:pPr>
        <w:ind w:left="426"/>
        <w:jc w:val="both"/>
      </w:pPr>
      <w:r w:rsidRPr="00655B00">
        <w:t>No presentan sustento de la tabla salarial mano de obra construcción civil, ya que todos los postores difieren de la tabla salarial aprobada por ley a la fecha de su oferta.</w:t>
      </w:r>
    </w:p>
    <w:p w:rsidR="00655B00" w:rsidRPr="00655B00" w:rsidRDefault="00655B00" w:rsidP="00655B00">
      <w:pPr>
        <w:ind w:left="426"/>
        <w:jc w:val="both"/>
        <w:rPr>
          <w:highlight w:val="yellow"/>
        </w:rPr>
      </w:pPr>
      <w:r w:rsidRPr="00655B00">
        <w:rPr>
          <w:highlight w:val="yellow"/>
        </w:rPr>
        <w:t>Comentario</w:t>
      </w:r>
    </w:p>
    <w:p w:rsidR="00655B00" w:rsidRPr="009E7CF4" w:rsidRDefault="00655B00" w:rsidP="00655B00">
      <w:pPr>
        <w:ind w:left="426"/>
        <w:jc w:val="both"/>
      </w:pPr>
      <w:r w:rsidRPr="00655B00">
        <w:t xml:space="preserve">De los Gastos Generales, se les alcanzará una planilla de gastos generales para poder realizar un mejor análisis y control de los costos, todo gasto general que no </w:t>
      </w:r>
      <w:proofErr w:type="spellStart"/>
      <w:r w:rsidRPr="00655B00">
        <w:t>este</w:t>
      </w:r>
      <w:proofErr w:type="spellEnd"/>
      <w:r w:rsidRPr="00655B00">
        <w:t xml:space="preserve"> en esta planilla y sea particular de cada organización deberá crear nuevos Ítem en el titulo Gastos Varios, si su análisis requiere más personal técnico administrativo deberá incrementar ítems en los títulos correspondientes.</w:t>
      </w:r>
    </w:p>
    <w:p w:rsidR="00D93E14" w:rsidRPr="009E7CF4" w:rsidRDefault="00D93E14" w:rsidP="00D93E14">
      <w:pPr>
        <w:ind w:left="426"/>
      </w:pPr>
    </w:p>
    <w:p w:rsidR="00406F00" w:rsidRPr="008E3B25" w:rsidRDefault="00406F00" w:rsidP="000D34C3">
      <w:pPr>
        <w:jc w:val="both"/>
        <w:rPr>
          <w:b/>
        </w:rPr>
      </w:pPr>
      <w:r>
        <w:rPr>
          <w:b/>
        </w:rPr>
        <w:t>C2. Análisis de precios unitarios</w:t>
      </w:r>
    </w:p>
    <w:p w:rsidR="00833A1A" w:rsidRDefault="00833A1A" w:rsidP="00833A1A">
      <w:pPr>
        <w:ind w:left="426"/>
        <w:jc w:val="both"/>
      </w:pPr>
      <w:r w:rsidRPr="00833A1A">
        <w:rPr>
          <w:highlight w:val="yellow"/>
        </w:rPr>
        <w:t>Observación:</w:t>
      </w:r>
    </w:p>
    <w:p w:rsidR="00406F00" w:rsidRDefault="00406F00" w:rsidP="000D34C3">
      <w:pPr>
        <w:ind w:left="426"/>
        <w:jc w:val="both"/>
      </w:pPr>
      <w:r w:rsidRPr="00406F00">
        <w:t>No presenta relación de insumos.</w:t>
      </w:r>
    </w:p>
    <w:p w:rsidR="009E7CF4" w:rsidRDefault="009E7CF4" w:rsidP="000D34C3">
      <w:pPr>
        <w:jc w:val="both"/>
        <w:rPr>
          <w:b/>
        </w:rPr>
      </w:pPr>
      <w:r>
        <w:rPr>
          <w:b/>
        </w:rPr>
        <w:t>C2. Plazo de pago</w:t>
      </w:r>
    </w:p>
    <w:p w:rsidR="009E7CF4" w:rsidRDefault="009E7CF4" w:rsidP="000D34C3">
      <w:pPr>
        <w:ind w:left="426"/>
        <w:jc w:val="both"/>
      </w:pPr>
      <w:r w:rsidRPr="009E7CF4">
        <w:t>Sin observaciones</w:t>
      </w:r>
    </w:p>
    <w:p w:rsidR="00E23F4A" w:rsidRDefault="00E23F4A" w:rsidP="000D34C3">
      <w:pPr>
        <w:ind w:left="426"/>
        <w:jc w:val="both"/>
      </w:pPr>
    </w:p>
    <w:p w:rsidR="00E23F4A" w:rsidRPr="00885496" w:rsidRDefault="00E23F4A" w:rsidP="00E23F4A">
      <w:pPr>
        <w:jc w:val="both"/>
        <w:rPr>
          <w:sz w:val="18"/>
        </w:rPr>
      </w:pPr>
      <w:r w:rsidRPr="00885496">
        <w:rPr>
          <w:sz w:val="18"/>
        </w:rPr>
        <w:t>Notas:</w:t>
      </w:r>
    </w:p>
    <w:p w:rsidR="00E23F4A" w:rsidRPr="00885496" w:rsidRDefault="00E23F4A" w:rsidP="00E23F4A">
      <w:pPr>
        <w:pStyle w:val="Prrafodelista"/>
        <w:numPr>
          <w:ilvl w:val="0"/>
          <w:numId w:val="3"/>
        </w:numPr>
        <w:jc w:val="both"/>
        <w:rPr>
          <w:sz w:val="18"/>
        </w:rPr>
      </w:pPr>
      <w:r w:rsidRPr="00885496">
        <w:rPr>
          <w:sz w:val="18"/>
        </w:rPr>
        <w:t xml:space="preserve">Observación: </w:t>
      </w:r>
      <w:r>
        <w:rPr>
          <w:sz w:val="18"/>
        </w:rPr>
        <w:t>Levantar observación (</w:t>
      </w:r>
      <w:r w:rsidRPr="00885496">
        <w:rPr>
          <w:sz w:val="18"/>
        </w:rPr>
        <w:t>Subsanable</w:t>
      </w:r>
      <w:r>
        <w:rPr>
          <w:sz w:val="18"/>
        </w:rPr>
        <w:t>)</w:t>
      </w:r>
    </w:p>
    <w:p w:rsidR="00E23F4A" w:rsidRDefault="00E23F4A" w:rsidP="00E23F4A">
      <w:pPr>
        <w:pStyle w:val="Prrafodelista"/>
        <w:numPr>
          <w:ilvl w:val="0"/>
          <w:numId w:val="3"/>
        </w:numPr>
        <w:jc w:val="both"/>
        <w:rPr>
          <w:sz w:val="18"/>
        </w:rPr>
      </w:pPr>
      <w:r w:rsidRPr="00885496">
        <w:rPr>
          <w:sz w:val="18"/>
        </w:rPr>
        <w:t>Comentario: Informativo (No subsanable)</w:t>
      </w:r>
    </w:p>
    <w:p w:rsidR="00E23F4A" w:rsidRPr="00885496" w:rsidRDefault="00E23F4A" w:rsidP="00E23F4A">
      <w:pPr>
        <w:pStyle w:val="Prrafodelista"/>
        <w:numPr>
          <w:ilvl w:val="0"/>
          <w:numId w:val="3"/>
        </w:numPr>
        <w:jc w:val="both"/>
        <w:rPr>
          <w:sz w:val="18"/>
        </w:rPr>
      </w:pPr>
      <w:r>
        <w:rPr>
          <w:sz w:val="18"/>
        </w:rPr>
        <w:t>Para el levantamiento de observaciones de experiencia de obras y organigrama no está permitido modificar el listado de obras de experiencia y el profesional propuesto presentado en la primera ronda. Únicamente se está solicitando información complementaria.</w:t>
      </w:r>
    </w:p>
    <w:p w:rsidR="00E23F4A" w:rsidRPr="009E7CF4" w:rsidRDefault="00E23F4A" w:rsidP="000D34C3">
      <w:pPr>
        <w:ind w:left="426"/>
        <w:jc w:val="both"/>
      </w:pPr>
    </w:p>
    <w:p w:rsidR="009E7CF4" w:rsidRPr="008E3B25" w:rsidRDefault="009E7CF4" w:rsidP="000D34C3">
      <w:pPr>
        <w:jc w:val="both"/>
        <w:rPr>
          <w:b/>
        </w:rPr>
      </w:pPr>
    </w:p>
    <w:p w:rsidR="009E7CF4" w:rsidRPr="008E3B25" w:rsidRDefault="009E7CF4" w:rsidP="000D34C3">
      <w:pPr>
        <w:ind w:left="426"/>
        <w:jc w:val="both"/>
      </w:pPr>
    </w:p>
    <w:sectPr w:rsidR="009E7CF4" w:rsidRPr="008E3B25" w:rsidSect="00CD7044">
      <w:headerReference w:type="default" r:id="rId7"/>
      <w:pgSz w:w="11906" w:h="16838" w:orient="landscape" w:code="9"/>
      <w:pgMar w:top="1417" w:right="1701" w:bottom="1417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E114F" w:rsidRDefault="00AE114F" w:rsidP="00833A1A">
      <w:pPr>
        <w:spacing w:after="0" w:line="240" w:lineRule="auto"/>
      </w:pPr>
      <w:r>
        <w:separator/>
      </w:r>
    </w:p>
  </w:endnote>
  <w:endnote w:type="continuationSeparator" w:id="0">
    <w:p w:rsidR="00AE114F" w:rsidRDefault="00AE114F" w:rsidP="00833A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E114F" w:rsidRDefault="00AE114F" w:rsidP="00833A1A">
      <w:pPr>
        <w:spacing w:after="0" w:line="240" w:lineRule="auto"/>
      </w:pPr>
      <w:r>
        <w:separator/>
      </w:r>
    </w:p>
  </w:footnote>
  <w:footnote w:type="continuationSeparator" w:id="0">
    <w:p w:rsidR="00AE114F" w:rsidRDefault="00AE114F" w:rsidP="00833A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33A1A" w:rsidRDefault="00833A1A" w:rsidP="00833A1A">
    <w:pPr>
      <w:pStyle w:val="Encabezado"/>
    </w:pPr>
    <w:r>
      <w:rPr>
        <w:noProof/>
      </w:rPr>
      <w:drawing>
        <wp:inline distT="0" distB="0" distL="0" distR="0" wp14:anchorId="3A37F2C2" wp14:editId="0F68C7A2">
          <wp:extent cx="855345" cy="588645"/>
          <wp:effectExtent l="0" t="0" r="1905" b="1905"/>
          <wp:docPr id="26" name="Imagen 25" descr="OHLA PERÚ | LinkedIn">
            <a:extLst xmlns:a="http://schemas.openxmlformats.org/drawingml/2006/main">
              <a:ext uri="{FF2B5EF4-FFF2-40B4-BE49-F238E27FC236}">
                <a16:creationId xmlns:a16="http://schemas.microsoft.com/office/drawing/2014/main" id="{7B3D7A93-0D98-40A0-B8A9-04E997C64202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Imagen 25" descr="OHLA PERÚ | LinkedIn">
                    <a:extLst>
                      <a:ext uri="{FF2B5EF4-FFF2-40B4-BE49-F238E27FC236}">
                        <a16:creationId xmlns:a16="http://schemas.microsoft.com/office/drawing/2014/main" id="{7B3D7A93-0D98-40A0-B8A9-04E997C64202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8443" b="19521"/>
                  <a:stretch/>
                </pic:blipFill>
                <pic:spPr bwMode="auto">
                  <a:xfrm>
                    <a:off x="0" y="0"/>
                    <a:ext cx="855345" cy="588645"/>
                  </a:xfrm>
                  <a:prstGeom prst="rect">
                    <a:avLst/>
                  </a:prstGeom>
                  <a:noFill/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</a:extLst>
                </pic:spPr>
              </pic:pic>
            </a:graphicData>
          </a:graphic>
        </wp:inline>
      </w:drawing>
    </w:r>
    <w:r>
      <w:rPr>
        <w:noProof/>
      </w:rPr>
      <w:t xml:space="preserve">                                                                                                                        </w:t>
    </w:r>
    <w:r w:rsidRPr="006F0544">
      <w:rPr>
        <w:noProof/>
      </w:rPr>
      <w:t xml:space="preserve"> </w:t>
    </w:r>
    <w:r>
      <w:rPr>
        <w:noProof/>
      </w:rPr>
      <w:drawing>
        <wp:inline distT="0" distB="0" distL="0" distR="0" wp14:anchorId="41BF4C72" wp14:editId="62E48CE6">
          <wp:extent cx="700823" cy="527822"/>
          <wp:effectExtent l="0" t="0" r="4445" b="5715"/>
          <wp:docPr id="25" name="Picture 18">
            <a:extLst xmlns:a="http://schemas.openxmlformats.org/drawingml/2006/main">
              <a:ext uri="{FF2B5EF4-FFF2-40B4-BE49-F238E27FC236}">
                <a16:creationId xmlns:a16="http://schemas.microsoft.com/office/drawing/2014/main" id="{39F2CA5A-6A65-4370-8AC8-58FE08B34573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" name="Picture 18">
                    <a:extLst>
                      <a:ext uri="{FF2B5EF4-FFF2-40B4-BE49-F238E27FC236}">
                        <a16:creationId xmlns:a16="http://schemas.microsoft.com/office/drawing/2014/main" id="{39F2CA5A-6A65-4370-8AC8-58FE08B34573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05835" cy="5315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833A1A" w:rsidRDefault="00833A1A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77C32FE"/>
    <w:multiLevelType w:val="hybridMultilevel"/>
    <w:tmpl w:val="C01CA0B6"/>
    <w:lvl w:ilvl="0" w:tplc="84AAF1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506" w:hanging="360"/>
      </w:pPr>
    </w:lvl>
    <w:lvl w:ilvl="2" w:tplc="280A001B" w:tentative="1">
      <w:start w:val="1"/>
      <w:numFmt w:val="lowerRoman"/>
      <w:lvlText w:val="%3."/>
      <w:lvlJc w:val="right"/>
      <w:pPr>
        <w:ind w:left="2226" w:hanging="180"/>
      </w:pPr>
    </w:lvl>
    <w:lvl w:ilvl="3" w:tplc="280A000F" w:tentative="1">
      <w:start w:val="1"/>
      <w:numFmt w:val="decimal"/>
      <w:lvlText w:val="%4."/>
      <w:lvlJc w:val="left"/>
      <w:pPr>
        <w:ind w:left="2946" w:hanging="360"/>
      </w:pPr>
    </w:lvl>
    <w:lvl w:ilvl="4" w:tplc="280A0019" w:tentative="1">
      <w:start w:val="1"/>
      <w:numFmt w:val="lowerLetter"/>
      <w:lvlText w:val="%5."/>
      <w:lvlJc w:val="left"/>
      <w:pPr>
        <w:ind w:left="3666" w:hanging="360"/>
      </w:pPr>
    </w:lvl>
    <w:lvl w:ilvl="5" w:tplc="280A001B" w:tentative="1">
      <w:start w:val="1"/>
      <w:numFmt w:val="lowerRoman"/>
      <w:lvlText w:val="%6."/>
      <w:lvlJc w:val="right"/>
      <w:pPr>
        <w:ind w:left="4386" w:hanging="180"/>
      </w:pPr>
    </w:lvl>
    <w:lvl w:ilvl="6" w:tplc="280A000F" w:tentative="1">
      <w:start w:val="1"/>
      <w:numFmt w:val="decimal"/>
      <w:lvlText w:val="%7."/>
      <w:lvlJc w:val="left"/>
      <w:pPr>
        <w:ind w:left="5106" w:hanging="360"/>
      </w:pPr>
    </w:lvl>
    <w:lvl w:ilvl="7" w:tplc="280A0019" w:tentative="1">
      <w:start w:val="1"/>
      <w:numFmt w:val="lowerLetter"/>
      <w:lvlText w:val="%8."/>
      <w:lvlJc w:val="left"/>
      <w:pPr>
        <w:ind w:left="5826" w:hanging="360"/>
      </w:pPr>
    </w:lvl>
    <w:lvl w:ilvl="8" w:tplc="28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63766C7B"/>
    <w:multiLevelType w:val="hybridMultilevel"/>
    <w:tmpl w:val="6072491C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073647"/>
    <w:multiLevelType w:val="hybridMultilevel"/>
    <w:tmpl w:val="6072491C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A71A5D"/>
    <w:multiLevelType w:val="hybridMultilevel"/>
    <w:tmpl w:val="E5743C22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B25"/>
    <w:rsid w:val="0009698B"/>
    <w:rsid w:val="000D34C3"/>
    <w:rsid w:val="0014792C"/>
    <w:rsid w:val="00164A1A"/>
    <w:rsid w:val="001A688C"/>
    <w:rsid w:val="002302FD"/>
    <w:rsid w:val="00271B3B"/>
    <w:rsid w:val="00277D6D"/>
    <w:rsid w:val="00285DAE"/>
    <w:rsid w:val="00321A2E"/>
    <w:rsid w:val="00406F00"/>
    <w:rsid w:val="004A48F7"/>
    <w:rsid w:val="005358CD"/>
    <w:rsid w:val="00645BF4"/>
    <w:rsid w:val="00655B00"/>
    <w:rsid w:val="007628F9"/>
    <w:rsid w:val="007861BB"/>
    <w:rsid w:val="00797974"/>
    <w:rsid w:val="007D5FC3"/>
    <w:rsid w:val="007D76CF"/>
    <w:rsid w:val="00833558"/>
    <w:rsid w:val="00833A1A"/>
    <w:rsid w:val="008E3B25"/>
    <w:rsid w:val="00994FF2"/>
    <w:rsid w:val="009E7CF4"/>
    <w:rsid w:val="009F63C3"/>
    <w:rsid w:val="00A0707A"/>
    <w:rsid w:val="00A93E91"/>
    <w:rsid w:val="00AB671C"/>
    <w:rsid w:val="00AE114F"/>
    <w:rsid w:val="00B0617B"/>
    <w:rsid w:val="00C16235"/>
    <w:rsid w:val="00CD7044"/>
    <w:rsid w:val="00D74B40"/>
    <w:rsid w:val="00D93E14"/>
    <w:rsid w:val="00DB15BF"/>
    <w:rsid w:val="00E12FFE"/>
    <w:rsid w:val="00E23F4A"/>
    <w:rsid w:val="00F621B6"/>
    <w:rsid w:val="00FB7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F3744FBC-0B93-4294-8ABB-1CACB5D9A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8E3B25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833A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33A1A"/>
  </w:style>
  <w:style w:type="paragraph" w:styleId="Piedepgina">
    <w:name w:val="footer"/>
    <w:basedOn w:val="Normal"/>
    <w:link w:val="PiedepginaCar"/>
    <w:uiPriority w:val="99"/>
    <w:unhideWhenUsed/>
    <w:rsid w:val="00833A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33A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430</Words>
  <Characters>2367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Obrascon Huarte Lain S.A. Suc. del Peru</Company>
  <LinksUpToDate>false</LinksUpToDate>
  <CharactersWithSpaces>2792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Isabel Salas Angeles</dc:creator>
  <cp:keywords/>
  <dc:description/>
  <cp:lastModifiedBy>Patricia Portal Quezada</cp:lastModifiedBy>
  <cp:revision>9</cp:revision>
  <dcterms:created xsi:type="dcterms:W3CDTF">2023-02-10T20:15:00Z</dcterms:created>
  <dcterms:modified xsi:type="dcterms:W3CDTF">2023-02-15T18:48:00Z</dcterms:modified>
</cp:coreProperties>
</file>