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8B2EF" w14:textId="331DC441" w:rsidR="00D74D29" w:rsidRPr="0010238E" w:rsidRDefault="0014792C" w:rsidP="00FF6D73">
      <w:pPr>
        <w:jc w:val="center"/>
        <w:rPr>
          <w:b/>
          <w:sz w:val="24"/>
          <w:u w:val="single"/>
        </w:rPr>
      </w:pPr>
      <w:bookmarkStart w:id="0" w:name="_Hlk126927509"/>
      <w:r w:rsidRPr="0010238E">
        <w:rPr>
          <w:b/>
          <w:sz w:val="24"/>
          <w:u w:val="single"/>
        </w:rPr>
        <w:t xml:space="preserve">Resumen de </w:t>
      </w:r>
      <w:r w:rsidR="008E3B25" w:rsidRPr="0010238E">
        <w:rPr>
          <w:b/>
          <w:sz w:val="24"/>
          <w:u w:val="single"/>
        </w:rPr>
        <w:t>Observaciones</w:t>
      </w:r>
      <w:r w:rsidRPr="0010238E">
        <w:rPr>
          <w:b/>
          <w:sz w:val="24"/>
          <w:u w:val="single"/>
        </w:rPr>
        <w:t xml:space="preserve"> y comentarios</w:t>
      </w:r>
      <w:r w:rsidR="000D34C3" w:rsidRPr="0010238E">
        <w:rPr>
          <w:b/>
          <w:sz w:val="24"/>
          <w:u w:val="single"/>
        </w:rPr>
        <w:t xml:space="preserve"> MT</w:t>
      </w:r>
      <w:r w:rsidR="00B922FE" w:rsidRPr="0010238E">
        <w:rPr>
          <w:b/>
          <w:sz w:val="24"/>
          <w:u w:val="single"/>
        </w:rPr>
        <w:t>III-</w:t>
      </w:r>
      <w:r w:rsidR="0010238E" w:rsidRPr="0010238E">
        <w:rPr>
          <w:b/>
          <w:sz w:val="24"/>
          <w:u w:val="single"/>
        </w:rPr>
        <w:t>2</w:t>
      </w:r>
      <w:r w:rsidR="000D34C3" w:rsidRPr="0010238E">
        <w:rPr>
          <w:b/>
          <w:sz w:val="24"/>
          <w:u w:val="single"/>
        </w:rPr>
        <w:t xml:space="preserve"> </w:t>
      </w:r>
      <w:r w:rsidR="00D953AC">
        <w:rPr>
          <w:b/>
          <w:sz w:val="24"/>
          <w:u w:val="single"/>
        </w:rPr>
        <w:t>Huaura</w:t>
      </w:r>
      <w:r w:rsidR="000D34C3" w:rsidRPr="0010238E">
        <w:rPr>
          <w:b/>
          <w:sz w:val="24"/>
          <w:u w:val="single"/>
        </w:rPr>
        <w:t xml:space="preserve"> </w:t>
      </w:r>
      <w:bookmarkEnd w:id="0"/>
      <w:r w:rsidR="000D34C3" w:rsidRPr="0010238E">
        <w:rPr>
          <w:b/>
          <w:sz w:val="24"/>
          <w:u w:val="single"/>
        </w:rPr>
        <w:t>-</w:t>
      </w:r>
      <w:r w:rsidR="008E3B25" w:rsidRPr="0010238E">
        <w:rPr>
          <w:b/>
          <w:sz w:val="24"/>
          <w:u w:val="single"/>
        </w:rPr>
        <w:t xml:space="preserve"> OHLA</w:t>
      </w:r>
    </w:p>
    <w:p w14:paraId="16A723A4" w14:textId="77777777" w:rsidR="004639BA" w:rsidRPr="00C77819" w:rsidRDefault="004639BA" w:rsidP="004639BA">
      <w:pPr>
        <w:jc w:val="both"/>
        <w:rPr>
          <w:b/>
        </w:rPr>
      </w:pPr>
      <w:r w:rsidRPr="00C77819">
        <w:rPr>
          <w:b/>
        </w:rPr>
        <w:t>A8 Declaración Jurada de Cumplimiento de Equipo Mínimo</w:t>
      </w:r>
    </w:p>
    <w:p w14:paraId="250F15CF" w14:textId="179A732A" w:rsidR="004639BA" w:rsidRPr="001260B4" w:rsidRDefault="00C77819" w:rsidP="004639BA">
      <w:pPr>
        <w:ind w:left="567"/>
        <w:jc w:val="both"/>
        <w:rPr>
          <w:bCs/>
        </w:rPr>
      </w:pPr>
      <w:r w:rsidRPr="00C77819">
        <w:rPr>
          <w:bCs/>
        </w:rPr>
        <w:t>Revisar ítem B6.</w:t>
      </w:r>
    </w:p>
    <w:p w14:paraId="69C7F4C3" w14:textId="77777777" w:rsidR="008E3B25" w:rsidRPr="00BC5596" w:rsidRDefault="008E3B25" w:rsidP="00FF6D73">
      <w:pPr>
        <w:jc w:val="both"/>
        <w:rPr>
          <w:b/>
        </w:rPr>
      </w:pPr>
      <w:r w:rsidRPr="00BC5596">
        <w:rPr>
          <w:b/>
        </w:rPr>
        <w:t>B2. Organigrama y Personal Clave</w:t>
      </w:r>
    </w:p>
    <w:p w14:paraId="284968AD" w14:textId="226C136E" w:rsidR="00426283" w:rsidRPr="00BC5596" w:rsidRDefault="00426283" w:rsidP="00985812">
      <w:pPr>
        <w:ind w:left="426"/>
        <w:jc w:val="both"/>
        <w:rPr>
          <w:bCs/>
        </w:rPr>
      </w:pPr>
      <w:r w:rsidRPr="00BC5596">
        <w:rPr>
          <w:b/>
        </w:rPr>
        <w:t>Responsable SSOMA:</w:t>
      </w:r>
      <w:r w:rsidRPr="00BC5596">
        <w:rPr>
          <w:bCs/>
        </w:rPr>
        <w:t xml:space="preserve"> </w:t>
      </w:r>
      <w:r w:rsidR="00D953AC">
        <w:rPr>
          <w:bCs/>
        </w:rPr>
        <w:t xml:space="preserve">Adjuntar certificado de </w:t>
      </w:r>
      <w:r w:rsidR="00D953AC" w:rsidRPr="00D953AC">
        <w:rPr>
          <w:bCs/>
        </w:rPr>
        <w:t>Construcción de la Carretera El Arenal - Punto Bombón</w:t>
      </w:r>
      <w:r w:rsidR="00D953AC">
        <w:rPr>
          <w:bCs/>
        </w:rPr>
        <w:t>.</w:t>
      </w:r>
    </w:p>
    <w:p w14:paraId="77231EFC" w14:textId="77777777" w:rsidR="008E3B25" w:rsidRPr="00DF5CE5" w:rsidRDefault="008E3B25" w:rsidP="00FF6D73">
      <w:pPr>
        <w:jc w:val="both"/>
        <w:rPr>
          <w:b/>
        </w:rPr>
      </w:pPr>
      <w:r w:rsidRPr="00DF5CE5">
        <w:rPr>
          <w:b/>
        </w:rPr>
        <w:t>B3.</w:t>
      </w:r>
      <w:r w:rsidRPr="00DF5CE5">
        <w:t xml:space="preserve"> </w:t>
      </w:r>
      <w:r w:rsidRPr="00DF5CE5">
        <w:rPr>
          <w:b/>
        </w:rPr>
        <w:t>Plan de Seguridad y Salud Ocupacional</w:t>
      </w:r>
    </w:p>
    <w:p w14:paraId="0730040A" w14:textId="214D57A4" w:rsidR="002C2CCE" w:rsidRPr="00DF5CE5" w:rsidRDefault="002C2CCE" w:rsidP="00FF6D73">
      <w:pPr>
        <w:ind w:left="426"/>
        <w:jc w:val="both"/>
        <w:rPr>
          <w:bCs/>
        </w:rPr>
      </w:pPr>
      <w:r w:rsidRPr="00DF5CE5">
        <w:rPr>
          <w:bCs/>
        </w:rPr>
        <w:t>Sin observaciones</w:t>
      </w:r>
    </w:p>
    <w:p w14:paraId="6D1DE137" w14:textId="77777777" w:rsidR="008E3B25" w:rsidRPr="00DF5CE5" w:rsidRDefault="008E3B25" w:rsidP="00FF6D73">
      <w:pPr>
        <w:jc w:val="both"/>
        <w:rPr>
          <w:b/>
        </w:rPr>
      </w:pPr>
      <w:r w:rsidRPr="00DF5CE5">
        <w:rPr>
          <w:b/>
        </w:rPr>
        <w:t>B4. Plan de Manejo Ambiental Operativo</w:t>
      </w:r>
    </w:p>
    <w:p w14:paraId="05022BBA" w14:textId="77777777" w:rsidR="002C2CCE" w:rsidRPr="00DF5CE5" w:rsidRDefault="002C2CCE" w:rsidP="00FF6D73">
      <w:pPr>
        <w:ind w:left="426"/>
        <w:jc w:val="both"/>
        <w:rPr>
          <w:bCs/>
        </w:rPr>
      </w:pPr>
      <w:r w:rsidRPr="00DF5CE5">
        <w:rPr>
          <w:bCs/>
        </w:rPr>
        <w:t>Sin observaciones</w:t>
      </w:r>
    </w:p>
    <w:p w14:paraId="305BF0CF" w14:textId="77777777" w:rsidR="008E3B25" w:rsidRPr="00DF5CE5" w:rsidRDefault="008E3B25" w:rsidP="00FF6D73">
      <w:pPr>
        <w:jc w:val="both"/>
        <w:rPr>
          <w:b/>
        </w:rPr>
      </w:pPr>
      <w:r w:rsidRPr="00DF5CE5">
        <w:rPr>
          <w:b/>
        </w:rPr>
        <w:t>B5.</w:t>
      </w:r>
      <w:r w:rsidRPr="00DF5CE5">
        <w:t xml:space="preserve"> </w:t>
      </w:r>
      <w:r w:rsidRPr="00DF5CE5">
        <w:rPr>
          <w:b/>
        </w:rPr>
        <w:t>Plan de Calidad</w:t>
      </w:r>
    </w:p>
    <w:p w14:paraId="5A8A493C" w14:textId="77777777" w:rsidR="002C2CCE" w:rsidRPr="00BE369C" w:rsidRDefault="002C2CCE" w:rsidP="00FF6D73">
      <w:pPr>
        <w:ind w:left="426"/>
        <w:jc w:val="both"/>
        <w:rPr>
          <w:bCs/>
        </w:rPr>
      </w:pPr>
      <w:r w:rsidRPr="00DF5CE5">
        <w:rPr>
          <w:bCs/>
        </w:rPr>
        <w:t xml:space="preserve">Sin </w:t>
      </w:r>
      <w:r w:rsidRPr="00BE369C">
        <w:rPr>
          <w:bCs/>
        </w:rPr>
        <w:t>observaciones</w:t>
      </w:r>
    </w:p>
    <w:p w14:paraId="0D91FDBE" w14:textId="546274B2" w:rsidR="008E3B25" w:rsidRPr="00BE369C" w:rsidRDefault="008E3B25" w:rsidP="00FF6D73">
      <w:pPr>
        <w:jc w:val="both"/>
        <w:rPr>
          <w:b/>
        </w:rPr>
      </w:pPr>
      <w:r w:rsidRPr="00BE369C">
        <w:rPr>
          <w:b/>
        </w:rPr>
        <w:t>B6. Relación de Equipos a utilizar en obra</w:t>
      </w:r>
      <w:r w:rsidR="00525C73">
        <w:rPr>
          <w:b/>
        </w:rPr>
        <w:t xml:space="preserve"> </w:t>
      </w:r>
    </w:p>
    <w:tbl>
      <w:tblPr>
        <w:tblW w:w="9300" w:type="dxa"/>
        <w:tblCellMar>
          <w:left w:w="70" w:type="dxa"/>
          <w:right w:w="70" w:type="dxa"/>
        </w:tblCellMar>
        <w:tblLook w:val="04A0" w:firstRow="1" w:lastRow="0" w:firstColumn="1" w:lastColumn="0" w:noHBand="0" w:noVBand="1"/>
      </w:tblPr>
      <w:tblGrid>
        <w:gridCol w:w="3940"/>
        <w:gridCol w:w="5360"/>
      </w:tblGrid>
      <w:tr w:rsidR="00BE369C" w:rsidRPr="00BE369C" w14:paraId="35FCA20E" w14:textId="77777777" w:rsidTr="00BE369C">
        <w:trPr>
          <w:trHeight w:val="576"/>
        </w:trPr>
        <w:tc>
          <w:tcPr>
            <w:tcW w:w="3940" w:type="dxa"/>
            <w:tcBorders>
              <w:top w:val="single" w:sz="4" w:space="0" w:color="000000"/>
              <w:left w:val="single" w:sz="4" w:space="0" w:color="000000"/>
              <w:bottom w:val="single" w:sz="4" w:space="0" w:color="auto"/>
              <w:right w:val="single" w:sz="4" w:space="0" w:color="auto"/>
            </w:tcBorders>
            <w:shd w:val="clear" w:color="4472C4" w:fill="4472C4"/>
            <w:noWrap/>
            <w:vAlign w:val="center"/>
            <w:hideMark/>
          </w:tcPr>
          <w:p w14:paraId="556FC5EE" w14:textId="77777777" w:rsidR="00BE369C" w:rsidRPr="00BE369C" w:rsidRDefault="00BE369C" w:rsidP="00BE369C">
            <w:pPr>
              <w:spacing w:after="0" w:line="240" w:lineRule="auto"/>
              <w:jc w:val="center"/>
              <w:rPr>
                <w:rFonts w:ascii="Calibri" w:eastAsia="Times New Roman" w:hAnsi="Calibri" w:cs="Calibri"/>
                <w:b/>
                <w:bCs/>
                <w:color w:val="FFFFFF"/>
                <w:lang w:eastAsia="es-PE"/>
              </w:rPr>
            </w:pPr>
            <w:r w:rsidRPr="00BE369C">
              <w:rPr>
                <w:rFonts w:ascii="Calibri" w:eastAsia="Times New Roman" w:hAnsi="Calibri" w:cs="Calibri"/>
                <w:b/>
                <w:bCs/>
                <w:color w:val="FFFFFF"/>
                <w:lang w:eastAsia="es-PE"/>
              </w:rPr>
              <w:t>EQUIPOS</w:t>
            </w:r>
          </w:p>
        </w:tc>
        <w:tc>
          <w:tcPr>
            <w:tcW w:w="5360" w:type="dxa"/>
            <w:tcBorders>
              <w:top w:val="single" w:sz="4" w:space="0" w:color="000000"/>
              <w:left w:val="single" w:sz="4" w:space="0" w:color="auto"/>
              <w:bottom w:val="single" w:sz="4" w:space="0" w:color="auto"/>
              <w:right w:val="single" w:sz="4" w:space="0" w:color="000000"/>
            </w:tcBorders>
            <w:shd w:val="clear" w:color="4472C4" w:fill="4472C4"/>
            <w:noWrap/>
            <w:vAlign w:val="center"/>
            <w:hideMark/>
          </w:tcPr>
          <w:p w14:paraId="368F6403" w14:textId="77777777" w:rsidR="00BE369C" w:rsidRPr="00BE369C" w:rsidRDefault="00BE369C" w:rsidP="00BE369C">
            <w:pPr>
              <w:spacing w:after="0" w:line="240" w:lineRule="auto"/>
              <w:jc w:val="center"/>
              <w:rPr>
                <w:rFonts w:ascii="Calibri" w:eastAsia="Times New Roman" w:hAnsi="Calibri" w:cs="Calibri"/>
                <w:b/>
                <w:bCs/>
                <w:color w:val="FFFFFF"/>
                <w:lang w:eastAsia="es-PE"/>
              </w:rPr>
            </w:pPr>
            <w:r w:rsidRPr="00BE369C">
              <w:rPr>
                <w:rFonts w:ascii="Calibri" w:eastAsia="Times New Roman" w:hAnsi="Calibri" w:cs="Calibri"/>
                <w:b/>
                <w:bCs/>
                <w:color w:val="FFFFFF"/>
                <w:lang w:eastAsia="es-PE"/>
              </w:rPr>
              <w:t>Observaciones</w:t>
            </w:r>
          </w:p>
        </w:tc>
      </w:tr>
      <w:tr w:rsidR="00BE369C" w:rsidRPr="00BE369C" w14:paraId="3BE44112" w14:textId="77777777" w:rsidTr="00BE369C">
        <w:trPr>
          <w:trHeight w:val="288"/>
        </w:trPr>
        <w:tc>
          <w:tcPr>
            <w:tcW w:w="3940" w:type="dxa"/>
            <w:tcBorders>
              <w:top w:val="single" w:sz="4" w:space="0" w:color="auto"/>
              <w:left w:val="single" w:sz="4" w:space="0" w:color="000000"/>
              <w:bottom w:val="single" w:sz="4" w:space="0" w:color="auto"/>
              <w:right w:val="single" w:sz="4" w:space="0" w:color="auto"/>
            </w:tcBorders>
            <w:shd w:val="clear" w:color="D9E1F2" w:fill="D9E1F2"/>
            <w:vAlign w:val="center"/>
            <w:hideMark/>
          </w:tcPr>
          <w:p w14:paraId="37E1BA32" w14:textId="77777777" w:rsidR="00BE369C" w:rsidRPr="00BE369C" w:rsidRDefault="00BE369C" w:rsidP="00BE369C">
            <w:pPr>
              <w:spacing w:after="0" w:line="240" w:lineRule="auto"/>
              <w:ind w:firstLineChars="200" w:firstLine="400"/>
              <w:rPr>
                <w:rFonts w:ascii="Calibri Light" w:eastAsia="Times New Roman" w:hAnsi="Calibri Light" w:cs="Calibri Light"/>
                <w:sz w:val="20"/>
                <w:szCs w:val="20"/>
                <w:lang w:eastAsia="es-PE"/>
              </w:rPr>
            </w:pPr>
            <w:r w:rsidRPr="00BE369C">
              <w:rPr>
                <w:rFonts w:ascii="Calibri Light" w:eastAsia="Times New Roman" w:hAnsi="Calibri Light" w:cs="Calibri Light"/>
                <w:sz w:val="20"/>
                <w:szCs w:val="20"/>
                <w:lang w:eastAsia="es-PE"/>
              </w:rPr>
              <w:t>ZARANDA VIBRATORIA MOVIL</w:t>
            </w:r>
          </w:p>
        </w:tc>
        <w:tc>
          <w:tcPr>
            <w:tcW w:w="5360" w:type="dxa"/>
            <w:tcBorders>
              <w:top w:val="single" w:sz="4" w:space="0" w:color="auto"/>
              <w:left w:val="single" w:sz="4" w:space="0" w:color="auto"/>
              <w:bottom w:val="single" w:sz="4" w:space="0" w:color="auto"/>
              <w:right w:val="single" w:sz="4" w:space="0" w:color="000000"/>
            </w:tcBorders>
            <w:shd w:val="clear" w:color="D9E1F2" w:fill="D9E1F2"/>
            <w:vAlign w:val="center"/>
            <w:hideMark/>
          </w:tcPr>
          <w:p w14:paraId="383DF4C7" w14:textId="77777777" w:rsidR="00BE369C" w:rsidRPr="00BE369C" w:rsidRDefault="00BE369C" w:rsidP="00BE369C">
            <w:pPr>
              <w:spacing w:after="0" w:line="240" w:lineRule="auto"/>
              <w:rPr>
                <w:rFonts w:ascii="Calibri" w:eastAsia="Times New Roman" w:hAnsi="Calibri" w:cs="Calibri"/>
                <w:lang w:eastAsia="es-PE"/>
              </w:rPr>
            </w:pPr>
            <w:r w:rsidRPr="00BE369C">
              <w:rPr>
                <w:rFonts w:ascii="Calibri" w:eastAsia="Times New Roman" w:hAnsi="Calibri" w:cs="Calibri"/>
                <w:lang w:eastAsia="es-PE"/>
              </w:rPr>
              <w:t>Confirmar que son 2 equipos distintos.</w:t>
            </w:r>
          </w:p>
        </w:tc>
      </w:tr>
      <w:tr w:rsidR="00A92B64" w:rsidRPr="00BE369C" w14:paraId="09FE76BE" w14:textId="77777777" w:rsidTr="00EA473C">
        <w:trPr>
          <w:trHeight w:val="576"/>
        </w:trPr>
        <w:tc>
          <w:tcPr>
            <w:tcW w:w="3940" w:type="dxa"/>
            <w:tcBorders>
              <w:top w:val="single" w:sz="4" w:space="0" w:color="auto"/>
              <w:left w:val="single" w:sz="4" w:space="0" w:color="000000"/>
              <w:bottom w:val="single" w:sz="4" w:space="0" w:color="auto"/>
              <w:right w:val="single" w:sz="4" w:space="0" w:color="auto"/>
            </w:tcBorders>
            <w:shd w:val="clear" w:color="D9E1F2" w:fill="D9E1F2"/>
            <w:vAlign w:val="center"/>
            <w:hideMark/>
          </w:tcPr>
          <w:p w14:paraId="3EA13405" w14:textId="032B4E13" w:rsidR="00A92B64" w:rsidRPr="00BE369C" w:rsidRDefault="00A92B64" w:rsidP="00BE369C">
            <w:pPr>
              <w:spacing w:after="0" w:line="240" w:lineRule="auto"/>
              <w:ind w:firstLineChars="200" w:firstLine="400"/>
              <w:rPr>
                <w:rFonts w:ascii="Calibri Light" w:eastAsia="Times New Roman" w:hAnsi="Calibri Light" w:cs="Calibri Light"/>
                <w:sz w:val="20"/>
                <w:szCs w:val="20"/>
                <w:lang w:eastAsia="es-PE"/>
              </w:rPr>
            </w:pPr>
            <w:r w:rsidRPr="00BE369C">
              <w:rPr>
                <w:rFonts w:ascii="Calibri Light" w:eastAsia="Times New Roman" w:hAnsi="Calibri Light" w:cs="Calibri Light"/>
                <w:sz w:val="20"/>
                <w:szCs w:val="20"/>
                <w:lang w:eastAsia="es-PE"/>
              </w:rPr>
              <w:t>MOTONIVELADORA</w:t>
            </w:r>
          </w:p>
        </w:tc>
        <w:tc>
          <w:tcPr>
            <w:tcW w:w="5360" w:type="dxa"/>
            <w:tcBorders>
              <w:top w:val="single" w:sz="4" w:space="0" w:color="auto"/>
              <w:left w:val="single" w:sz="4" w:space="0" w:color="auto"/>
              <w:bottom w:val="single" w:sz="4" w:space="0" w:color="auto"/>
              <w:right w:val="single" w:sz="4" w:space="0" w:color="000000"/>
            </w:tcBorders>
            <w:shd w:val="clear" w:color="D9E1F2" w:fill="D9E1F2"/>
            <w:vAlign w:val="center"/>
            <w:hideMark/>
          </w:tcPr>
          <w:p w14:paraId="28A62C4E" w14:textId="6522804B" w:rsidR="00A92B64" w:rsidRPr="00BE369C" w:rsidRDefault="00A92B64" w:rsidP="00BE369C">
            <w:pPr>
              <w:spacing w:after="0" w:line="240" w:lineRule="auto"/>
              <w:rPr>
                <w:rFonts w:ascii="Calibri" w:eastAsia="Times New Roman" w:hAnsi="Calibri" w:cs="Calibri"/>
                <w:lang w:eastAsia="es-PE"/>
              </w:rPr>
            </w:pPr>
            <w:r w:rsidRPr="00BE369C">
              <w:rPr>
                <w:rFonts w:ascii="Calibri" w:eastAsia="Times New Roman" w:hAnsi="Calibri" w:cs="Calibri"/>
                <w:lang w:eastAsia="es-PE"/>
              </w:rPr>
              <w:t>Solicitar 2 motoniveladoras</w:t>
            </w:r>
          </w:p>
        </w:tc>
      </w:tr>
    </w:tbl>
    <w:p w14:paraId="553FAFA6" w14:textId="77777777" w:rsidR="006B3592" w:rsidRPr="000758CC" w:rsidRDefault="006B3592" w:rsidP="006B3592">
      <w:pPr>
        <w:ind w:left="567"/>
        <w:jc w:val="both"/>
        <w:rPr>
          <w:bCs/>
          <w:highlight w:val="yellow"/>
        </w:rPr>
      </w:pPr>
    </w:p>
    <w:p w14:paraId="48F15691" w14:textId="77777777" w:rsidR="00271B3B" w:rsidRPr="000742B1" w:rsidRDefault="00271B3B" w:rsidP="00FF6D73">
      <w:pPr>
        <w:jc w:val="both"/>
        <w:rPr>
          <w:b/>
        </w:rPr>
      </w:pPr>
      <w:r w:rsidRPr="000742B1">
        <w:rPr>
          <w:b/>
        </w:rPr>
        <w:t>B7. Plan de Ejecución del Proyecto (PEP)</w:t>
      </w:r>
    </w:p>
    <w:p w14:paraId="0B6FD760" w14:textId="41429FE9" w:rsidR="00151D01" w:rsidRPr="000742B1" w:rsidRDefault="00151D01" w:rsidP="00151D01">
      <w:pPr>
        <w:ind w:left="426"/>
        <w:jc w:val="both"/>
        <w:rPr>
          <w:b/>
        </w:rPr>
      </w:pPr>
      <w:r w:rsidRPr="000742B1">
        <w:rPr>
          <w:b/>
        </w:rPr>
        <w:t>1. Secuencia constructiva</w:t>
      </w:r>
    </w:p>
    <w:p w14:paraId="7962D7B2" w14:textId="77777777" w:rsidR="000742B1" w:rsidRPr="000742B1" w:rsidRDefault="000742B1" w:rsidP="000742B1">
      <w:pPr>
        <w:ind w:left="709"/>
        <w:jc w:val="both"/>
        <w:rPr>
          <w:bCs/>
        </w:rPr>
      </w:pPr>
      <w:r w:rsidRPr="000742B1">
        <w:rPr>
          <w:bCs/>
          <w:u w:val="single"/>
        </w:rPr>
        <w:t>Construcción:</w:t>
      </w:r>
      <w:r w:rsidRPr="000742B1">
        <w:rPr>
          <w:bCs/>
        </w:rPr>
        <w:t xml:space="preserve"> Considerando que el servicio de Movimiento de Tierras III-2 implica la construcción de muros en voladizo como de diques, se comenta lo siguiente: </w:t>
      </w:r>
    </w:p>
    <w:p w14:paraId="5FF9BB20" w14:textId="4BF9BEFE" w:rsidR="000742B1" w:rsidRPr="000742B1" w:rsidRDefault="000742B1" w:rsidP="000742B1">
      <w:pPr>
        <w:ind w:left="709"/>
        <w:jc w:val="both"/>
        <w:rPr>
          <w:bCs/>
        </w:rPr>
      </w:pPr>
      <w:r w:rsidRPr="000742B1">
        <w:rPr>
          <w:bCs/>
        </w:rPr>
        <w:t>La definición del proceso constructivo de diques se ajusta adecuadamente a todas las partidas establecidas en el expediente técnico. Además, presenta una secuencia correcta de estas acciones, el resto del proceso constructivo esta conforme.</w:t>
      </w:r>
    </w:p>
    <w:p w14:paraId="0A8CB762" w14:textId="2750738C" w:rsidR="000742B1" w:rsidRPr="000742B1" w:rsidRDefault="000742B1" w:rsidP="000742B1">
      <w:pPr>
        <w:ind w:left="709"/>
        <w:jc w:val="both"/>
        <w:rPr>
          <w:bCs/>
        </w:rPr>
      </w:pPr>
      <w:r w:rsidRPr="000742B1">
        <w:rPr>
          <w:bCs/>
        </w:rPr>
        <w:t>Los periodos de trabajo (dos estiajes) considerados por el postor se ajustan a lo indicado en el TDR, también considera los equipos necesarios para su ejecución.</w:t>
      </w:r>
    </w:p>
    <w:p w14:paraId="5363EEA3" w14:textId="4C83816B" w:rsidR="000742B1" w:rsidRPr="000742B1" w:rsidRDefault="000742B1" w:rsidP="000742B1">
      <w:pPr>
        <w:ind w:left="709"/>
        <w:jc w:val="both"/>
        <w:rPr>
          <w:bCs/>
        </w:rPr>
      </w:pPr>
      <w:r w:rsidRPr="000742B1">
        <w:rPr>
          <w:bCs/>
        </w:rPr>
        <w:t>La estrategia para la construcción de muros es típica, propone el uso de encofrado modulares y vaciados de concreto monolíticos.</w:t>
      </w:r>
    </w:p>
    <w:p w14:paraId="3BC6BA5B" w14:textId="77777777" w:rsidR="000742B1" w:rsidRPr="000742B1" w:rsidRDefault="000742B1" w:rsidP="000742B1">
      <w:pPr>
        <w:ind w:left="709"/>
        <w:jc w:val="both"/>
        <w:rPr>
          <w:bCs/>
        </w:rPr>
      </w:pPr>
      <w:r w:rsidRPr="000742B1">
        <w:rPr>
          <w:bCs/>
        </w:rPr>
        <w:t>No se presenta la estrategia a emplear (encauzamiento hacia la otra margen) para desviar el río antes de iniciar las labores constructivas de un dique o muro.</w:t>
      </w:r>
    </w:p>
    <w:p w14:paraId="51E8186A" w14:textId="2E86373B" w:rsidR="000742B1" w:rsidRPr="000742B1" w:rsidRDefault="000742B1" w:rsidP="000742B1">
      <w:pPr>
        <w:ind w:left="709"/>
        <w:jc w:val="both"/>
        <w:rPr>
          <w:bCs/>
        </w:rPr>
      </w:pPr>
      <w:r w:rsidRPr="000742B1">
        <w:rPr>
          <w:bCs/>
        </w:rPr>
        <w:t>No se evidencia la estrategia de suministro de roca, partiendo de la premisa que el subcontratista es el responsable del abastecimiento de roca. El postor indica que usará las canteras de roca ubicadas por el Gestor.</w:t>
      </w:r>
    </w:p>
    <w:p w14:paraId="4FFD6ECD" w14:textId="77777777" w:rsidR="000742B1" w:rsidRPr="000742B1" w:rsidRDefault="000742B1" w:rsidP="000742B1">
      <w:pPr>
        <w:ind w:left="709"/>
        <w:jc w:val="both"/>
        <w:rPr>
          <w:bCs/>
          <w:u w:val="single"/>
        </w:rPr>
      </w:pPr>
      <w:r w:rsidRPr="000742B1">
        <w:rPr>
          <w:bCs/>
          <w:u w:val="single"/>
        </w:rPr>
        <w:lastRenderedPageBreak/>
        <w:t xml:space="preserve">Planeamiento: </w:t>
      </w:r>
    </w:p>
    <w:p w14:paraId="48909593" w14:textId="77777777" w:rsidR="000742B1" w:rsidRPr="000742B1" w:rsidRDefault="000742B1" w:rsidP="000742B1">
      <w:pPr>
        <w:ind w:left="709"/>
        <w:jc w:val="both"/>
        <w:rPr>
          <w:bCs/>
        </w:rPr>
      </w:pPr>
      <w:r w:rsidRPr="000742B1">
        <w:rPr>
          <w:bCs/>
        </w:rPr>
        <w:t>- La estructura de EDT del formato B7 (Plan de ejecución pág. 22) no guarda relación con la EDT del cronograma de obra presentado en el formato B8.</w:t>
      </w:r>
    </w:p>
    <w:p w14:paraId="6DC6FFD7" w14:textId="0055A8E0" w:rsidR="000742B1" w:rsidRPr="000742B1" w:rsidRDefault="000742B1" w:rsidP="000742B1">
      <w:pPr>
        <w:ind w:left="709"/>
        <w:jc w:val="both"/>
        <w:rPr>
          <w:bCs/>
        </w:rPr>
      </w:pPr>
      <w:r w:rsidRPr="000742B1">
        <w:rPr>
          <w:bCs/>
        </w:rPr>
        <w:t xml:space="preserve">- El sistema de trabajo 6x1, indicado en el formato B7 (Plan de ejecución pág.24), no guarda relación con el calendario [Puente Pardo] utilizado el cronograma en el formato B8 siendo un sistema 7x0. En todo caso aclarar por qué se ha considerado un calendario de </w:t>
      </w:r>
      <w:proofErr w:type="gramStart"/>
      <w:r w:rsidRPr="000742B1">
        <w:rPr>
          <w:bCs/>
        </w:rPr>
        <w:t>Lunes</w:t>
      </w:r>
      <w:proofErr w:type="gramEnd"/>
      <w:r w:rsidRPr="000742B1">
        <w:rPr>
          <w:bCs/>
        </w:rPr>
        <w:t xml:space="preserve"> a Domingo en el cronograma.</w:t>
      </w:r>
    </w:p>
    <w:p w14:paraId="0651DA56" w14:textId="070D5AE8" w:rsidR="000742B1" w:rsidRPr="000742B1" w:rsidRDefault="000742B1" w:rsidP="000742B1">
      <w:pPr>
        <w:ind w:left="709"/>
        <w:jc w:val="both"/>
        <w:rPr>
          <w:bCs/>
        </w:rPr>
      </w:pPr>
      <w:r w:rsidRPr="000742B1">
        <w:rPr>
          <w:bCs/>
        </w:rPr>
        <w:t xml:space="preserve">- </w:t>
      </w:r>
      <w:r w:rsidR="009318C5" w:rsidRPr="009318C5">
        <w:rPr>
          <w:bCs/>
        </w:rPr>
        <w:t>corregir redacción de la página 41, dice diques D-06-DI y I-5-15-I, cambiar por D-06-DI y D-04-PT</w:t>
      </w:r>
      <w:r w:rsidRPr="000742B1">
        <w:rPr>
          <w:bCs/>
        </w:rPr>
        <w:t>.</w:t>
      </w:r>
    </w:p>
    <w:p w14:paraId="0D31D935" w14:textId="006C4445" w:rsidR="000742B1" w:rsidRPr="000742B1" w:rsidRDefault="000742B1" w:rsidP="000742B1">
      <w:pPr>
        <w:ind w:left="709"/>
        <w:jc w:val="both"/>
        <w:rPr>
          <w:bCs/>
        </w:rPr>
      </w:pPr>
      <w:r w:rsidRPr="000742B1">
        <w:rPr>
          <w:bCs/>
        </w:rPr>
        <w:t>- Ítem 3.3 pág. 42, para el frente 04, se repite do veces el "segundo periodo", al parecer hay un error. Se repite con el segundo periodo del frente 3.</w:t>
      </w:r>
    </w:p>
    <w:p w14:paraId="6232D3CD" w14:textId="7B739E20" w:rsidR="000742B1" w:rsidRDefault="000742B1" w:rsidP="000742B1">
      <w:pPr>
        <w:ind w:left="709"/>
        <w:jc w:val="both"/>
        <w:rPr>
          <w:bCs/>
        </w:rPr>
      </w:pPr>
      <w:r w:rsidRPr="000742B1">
        <w:rPr>
          <w:bCs/>
        </w:rPr>
        <w:t>- En histograma de equipo pág. 44, llama la atención que no esté incluido los equipos asociados a la Extracción de Roca en canteras.</w:t>
      </w:r>
      <w:r w:rsidR="009318C5">
        <w:rPr>
          <w:bCs/>
        </w:rPr>
        <w:t xml:space="preserve"> Se debe </w:t>
      </w:r>
      <w:r w:rsidR="009318C5" w:rsidRPr="009318C5">
        <w:rPr>
          <w:bCs/>
        </w:rPr>
        <w:t>co</w:t>
      </w:r>
      <w:r w:rsidR="009318C5">
        <w:rPr>
          <w:bCs/>
        </w:rPr>
        <w:t>ntemplar</w:t>
      </w:r>
      <w:r w:rsidR="009318C5" w:rsidRPr="009318C5">
        <w:rPr>
          <w:bCs/>
        </w:rPr>
        <w:t xml:space="preserve"> equipo como Rock drill, </w:t>
      </w:r>
      <w:proofErr w:type="spellStart"/>
      <w:r w:rsidR="009318C5" w:rsidRPr="009318C5">
        <w:rPr>
          <w:bCs/>
        </w:rPr>
        <w:t>Trackdill</w:t>
      </w:r>
      <w:proofErr w:type="spellEnd"/>
      <w:r w:rsidR="009318C5" w:rsidRPr="009318C5">
        <w:rPr>
          <w:bCs/>
        </w:rPr>
        <w:t>, excavadoras, volquetes roqueros, luminarias</w:t>
      </w:r>
      <w:r w:rsidR="009318C5">
        <w:rPr>
          <w:bCs/>
        </w:rPr>
        <w:t>.</w:t>
      </w:r>
    </w:p>
    <w:p w14:paraId="48C9D2BF" w14:textId="71C67CE3" w:rsidR="000742B1" w:rsidRPr="000742B1" w:rsidRDefault="000742B1" w:rsidP="000742B1">
      <w:pPr>
        <w:ind w:left="709"/>
        <w:jc w:val="both"/>
        <w:rPr>
          <w:bCs/>
        </w:rPr>
      </w:pPr>
      <w:r w:rsidRPr="000742B1">
        <w:rPr>
          <w:bCs/>
        </w:rPr>
        <w:t xml:space="preserve">- </w:t>
      </w:r>
      <w:r w:rsidR="009318C5">
        <w:rPr>
          <w:bCs/>
        </w:rPr>
        <w:t>E</w:t>
      </w:r>
      <w:r w:rsidR="009318C5" w:rsidRPr="009318C5">
        <w:rPr>
          <w:bCs/>
        </w:rPr>
        <w:t xml:space="preserve">n la página 63 del plan, solo indica “se excavará hasta el fondo de cimentación…”, la ejecución de los muros es complejo, por lo cual se requiere una estrategia a detalle sobre todo la excavación de cimentación, puesto que algunos caso los muros llegan hasta 7metros de altura, cada cuanto tendrán rampas de salida de emergencia, como va ser los corte de talud, se empleará o no malla de sostenimiento temporal con cáncamos o que mecanismo plantea el </w:t>
      </w:r>
      <w:proofErr w:type="gramStart"/>
      <w:r w:rsidR="009318C5" w:rsidRPr="009318C5">
        <w:rPr>
          <w:bCs/>
        </w:rPr>
        <w:t>postor.</w:t>
      </w:r>
      <w:r w:rsidRPr="000742B1">
        <w:rPr>
          <w:bCs/>
        </w:rPr>
        <w:t>.</w:t>
      </w:r>
      <w:proofErr w:type="gramEnd"/>
    </w:p>
    <w:p w14:paraId="01A6D643" w14:textId="2D1A28F0" w:rsidR="000742B1" w:rsidRPr="000742B1" w:rsidRDefault="000742B1" w:rsidP="000742B1">
      <w:pPr>
        <w:ind w:left="709"/>
        <w:jc w:val="both"/>
        <w:rPr>
          <w:bCs/>
        </w:rPr>
      </w:pPr>
      <w:r w:rsidRPr="000742B1">
        <w:rPr>
          <w:bCs/>
        </w:rPr>
        <w:t xml:space="preserve">- ítem 5.4 Canteras de Roca, dentro del plan no se muestra el detalle de la estrategia del postor para las actividades de "extracción de roca", </w:t>
      </w:r>
      <w:r w:rsidR="007B353F" w:rsidRPr="007B353F">
        <w:rPr>
          <w:bCs/>
        </w:rPr>
        <w:t>debe completar, se requiere saber si con dos frentes o doble turno o dos canteras será necesario cumplir con el volumen requerido para enrocar los diques y así cumplir con el plazo ofrecido por el postor</w:t>
      </w:r>
      <w:r w:rsidRPr="000742B1">
        <w:rPr>
          <w:bCs/>
        </w:rPr>
        <w:t>.</w:t>
      </w:r>
    </w:p>
    <w:p w14:paraId="787678E4" w14:textId="531BD6BD" w:rsidR="000742B1" w:rsidRPr="000742B1" w:rsidRDefault="000742B1" w:rsidP="000742B1">
      <w:pPr>
        <w:ind w:left="709"/>
        <w:jc w:val="both"/>
        <w:rPr>
          <w:b/>
        </w:rPr>
      </w:pPr>
      <w:r w:rsidRPr="000742B1">
        <w:rPr>
          <w:b/>
        </w:rPr>
        <w:t>Identificación de rutas de transporte y accesos:</w:t>
      </w:r>
    </w:p>
    <w:p w14:paraId="7408B7A4" w14:textId="77777777" w:rsidR="000742B1" w:rsidRPr="000742B1" w:rsidRDefault="000742B1" w:rsidP="000742B1">
      <w:pPr>
        <w:ind w:left="709"/>
        <w:jc w:val="both"/>
        <w:rPr>
          <w:bCs/>
        </w:rPr>
      </w:pPr>
      <w:r w:rsidRPr="000742B1">
        <w:rPr>
          <w:bCs/>
        </w:rPr>
        <w:t xml:space="preserve">La propuesta acierta al determinar de forma precisa y similar al KMZ compartido los accesos a los diques, muros y áreas auxiliares, así como al definir el plan de tráfico que regirá las rutas de acceso y circulación de equipos durante la ejecución del proyecto. </w:t>
      </w:r>
    </w:p>
    <w:p w14:paraId="0D79FADA" w14:textId="77777777" w:rsidR="000742B1" w:rsidRPr="000742B1" w:rsidRDefault="000742B1" w:rsidP="000742B1">
      <w:pPr>
        <w:ind w:left="709"/>
        <w:jc w:val="both"/>
        <w:rPr>
          <w:bCs/>
        </w:rPr>
      </w:pPr>
      <w:r w:rsidRPr="000742B1">
        <w:rPr>
          <w:bCs/>
        </w:rPr>
        <w:t>El postor presenta un Plan de Control de Tráfico el cual contiene planos detallados de rutas y señalizaciones tanto en rutas principales, rutas alternas y dentro de las áreas de trabajo.</w:t>
      </w:r>
    </w:p>
    <w:p w14:paraId="00CB66C5" w14:textId="4EDD602F" w:rsidR="000742B1" w:rsidRDefault="000742B1" w:rsidP="000742B1">
      <w:pPr>
        <w:ind w:left="709"/>
        <w:jc w:val="both"/>
        <w:rPr>
          <w:bCs/>
        </w:rPr>
      </w:pPr>
      <w:r w:rsidRPr="000742B1">
        <w:rPr>
          <w:bCs/>
        </w:rPr>
        <w:t xml:space="preserve">No se hace un análisis más detallado del tratamiento de las interferencias en los accesos a las áreas auxiliares y de los accesos en la zona de </w:t>
      </w:r>
      <w:proofErr w:type="spellStart"/>
      <w:r w:rsidRPr="000742B1">
        <w:rPr>
          <w:bCs/>
        </w:rPr>
        <w:t>Chur</w:t>
      </w:r>
      <w:r>
        <w:rPr>
          <w:bCs/>
        </w:rPr>
        <w:t>í</w:t>
      </w:r>
      <w:r w:rsidRPr="000742B1">
        <w:rPr>
          <w:bCs/>
        </w:rPr>
        <w:t>n</w:t>
      </w:r>
      <w:proofErr w:type="spellEnd"/>
      <w:r w:rsidRPr="000742B1">
        <w:rPr>
          <w:bCs/>
        </w:rPr>
        <w:t xml:space="preserve">, en la cual se tiene 4 diques en la margen izquierda del rio y los accesos a estas estructuras presentan varias restricciones por estar cerca de la avenida principal y estar rodeado de viviendas y comercios. </w:t>
      </w:r>
    </w:p>
    <w:p w14:paraId="3A57B6E8" w14:textId="77777777" w:rsidR="000742B1" w:rsidRPr="000742B1" w:rsidRDefault="000742B1" w:rsidP="000742B1">
      <w:pPr>
        <w:ind w:left="709"/>
        <w:jc w:val="both"/>
        <w:rPr>
          <w:b/>
        </w:rPr>
      </w:pPr>
      <w:r w:rsidRPr="000742B1">
        <w:rPr>
          <w:b/>
        </w:rPr>
        <w:t>Medidas de Mitigación para la construcción ante crecidas y posibles avenidas</w:t>
      </w:r>
    </w:p>
    <w:p w14:paraId="04EED977" w14:textId="5210BBAC" w:rsidR="000742B1" w:rsidRPr="00651263" w:rsidRDefault="000742B1" w:rsidP="000742B1">
      <w:pPr>
        <w:ind w:left="709"/>
        <w:jc w:val="both"/>
        <w:rPr>
          <w:bCs/>
        </w:rPr>
      </w:pPr>
      <w:r w:rsidRPr="00651263">
        <w:rPr>
          <w:bCs/>
        </w:rPr>
        <w:t xml:space="preserve">La propuesta de actividades y las medidas de mitigación presentadas frente a situaciones de avenidas extraordinarias son precisas, respaldadas por un sustento </w:t>
      </w:r>
      <w:r w:rsidRPr="00651263">
        <w:rPr>
          <w:bCs/>
        </w:rPr>
        <w:lastRenderedPageBreak/>
        <w:t>técnico evidenciado en el plan de ejecución. Sin embargo, no se proporciona un mayor detalle sobre las protecciones a definir o su composición, ni se especifica la fecha de inicio dentro del cronograma resumen, lo cual es crucial para anticipar la crecida del río entre los meses de enero y abril.</w:t>
      </w:r>
    </w:p>
    <w:p w14:paraId="77CACF0A" w14:textId="77777777" w:rsidR="007354B6" w:rsidRPr="00651263" w:rsidRDefault="007354B6" w:rsidP="007354B6">
      <w:pPr>
        <w:pStyle w:val="Prrafodelista"/>
        <w:spacing w:after="0" w:line="240" w:lineRule="auto"/>
        <w:ind w:left="709"/>
        <w:contextualSpacing w:val="0"/>
        <w:jc w:val="both"/>
        <w:rPr>
          <w:bCs/>
        </w:rPr>
      </w:pPr>
    </w:p>
    <w:p w14:paraId="10C10A94" w14:textId="77777777" w:rsidR="00271B3B" w:rsidRPr="00651263" w:rsidRDefault="00271B3B" w:rsidP="00FF6D73">
      <w:pPr>
        <w:jc w:val="both"/>
        <w:rPr>
          <w:b/>
        </w:rPr>
      </w:pPr>
      <w:r w:rsidRPr="00651263">
        <w:rPr>
          <w:b/>
        </w:rPr>
        <w:t>B8. Cronograma e histograma de Mano de obra y equipos</w:t>
      </w:r>
    </w:p>
    <w:p w14:paraId="360D1FA0" w14:textId="201F242B" w:rsidR="00080114" w:rsidRPr="00651263" w:rsidRDefault="00080114" w:rsidP="00080114">
      <w:pPr>
        <w:ind w:left="426"/>
        <w:jc w:val="both"/>
        <w:rPr>
          <w:b/>
        </w:rPr>
      </w:pPr>
      <w:r w:rsidRPr="00651263">
        <w:rPr>
          <w:b/>
        </w:rPr>
        <w:t>1. Cronograma de obra en Primavera P6 que respete la secuencia lógica constructiva</w:t>
      </w:r>
    </w:p>
    <w:p w14:paraId="646792DD" w14:textId="1F2EFB3C" w:rsidR="00651263" w:rsidRPr="00651263" w:rsidRDefault="00651263" w:rsidP="00651263">
      <w:pPr>
        <w:ind w:left="426"/>
        <w:jc w:val="both"/>
        <w:rPr>
          <w:bCs/>
        </w:rPr>
      </w:pPr>
      <w:r w:rsidRPr="00651263">
        <w:rPr>
          <w:bCs/>
        </w:rPr>
        <w:t xml:space="preserve">- El postor presenta un cronograma con un plazo de 480 días calendarios, dentro del plazo referencial. </w:t>
      </w:r>
      <w:r w:rsidR="00DB1007" w:rsidRPr="00DB1007">
        <w:rPr>
          <w:bCs/>
        </w:rPr>
        <w:t>se debe actualizar el calendario del cronograma, y ajustar luego el plazo al referencial del TDR</w:t>
      </w:r>
      <w:r w:rsidRPr="00651263">
        <w:rPr>
          <w:bCs/>
        </w:rPr>
        <w:t>.</w:t>
      </w:r>
    </w:p>
    <w:p w14:paraId="747A0412" w14:textId="6A004954" w:rsidR="00651263" w:rsidRPr="00651263" w:rsidRDefault="00651263" w:rsidP="00651263">
      <w:pPr>
        <w:ind w:left="426"/>
        <w:jc w:val="both"/>
        <w:rPr>
          <w:bCs/>
        </w:rPr>
      </w:pPr>
      <w:r w:rsidRPr="00651263">
        <w:rPr>
          <w:bCs/>
        </w:rPr>
        <w:t xml:space="preserve"> - La ruta </w:t>
      </w:r>
      <w:r w:rsidR="00DD2F7B" w:rsidRPr="00651263">
        <w:rPr>
          <w:bCs/>
        </w:rPr>
        <w:t>crítica</w:t>
      </w:r>
      <w:r w:rsidRPr="00651263">
        <w:rPr>
          <w:bCs/>
        </w:rPr>
        <w:t xml:space="preserve"> no es consistente, presenta más de dos caminos </w:t>
      </w:r>
      <w:r w:rsidR="00DD2F7B" w:rsidRPr="00651263">
        <w:rPr>
          <w:bCs/>
        </w:rPr>
        <w:t>críticos</w:t>
      </w:r>
      <w:r w:rsidRPr="00651263">
        <w:rPr>
          <w:bCs/>
        </w:rPr>
        <w:t xml:space="preserve"> y no necesariamente </w:t>
      </w:r>
      <w:r w:rsidR="00DD2F7B" w:rsidRPr="00651263">
        <w:rPr>
          <w:bCs/>
        </w:rPr>
        <w:t>están</w:t>
      </w:r>
      <w:r w:rsidRPr="00651263">
        <w:rPr>
          <w:bCs/>
        </w:rPr>
        <w:t xml:space="preserve"> </w:t>
      </w:r>
      <w:r w:rsidR="00DD2F7B" w:rsidRPr="00651263">
        <w:rPr>
          <w:bCs/>
        </w:rPr>
        <w:t>vinculados</w:t>
      </w:r>
      <w:r w:rsidRPr="00651263">
        <w:rPr>
          <w:bCs/>
        </w:rPr>
        <w:t xml:space="preserve">, esto se genera por los hitos intermedios incluidos. </w:t>
      </w:r>
      <w:r w:rsidR="00DB1007">
        <w:rPr>
          <w:bCs/>
        </w:rPr>
        <w:t>E</w:t>
      </w:r>
      <w:r w:rsidR="00DB1007" w:rsidRPr="00DB1007">
        <w:rPr>
          <w:bCs/>
        </w:rPr>
        <w:t>l cronograma debe cumplir las buenas prácticas, se hizo el ejercicio de poner una actividad de la ruta crítica una duración de 1000 días, sin embargo, cronograma no todas las actividades se impactaban, lo que indica que la ruta crítica no tiene una buena lógica de relaciones.</w:t>
      </w:r>
    </w:p>
    <w:p w14:paraId="07FB13F0" w14:textId="60C25794" w:rsidR="00651263" w:rsidRPr="00651263" w:rsidRDefault="00651263" w:rsidP="00651263">
      <w:pPr>
        <w:ind w:left="426"/>
        <w:jc w:val="both"/>
        <w:rPr>
          <w:bCs/>
        </w:rPr>
      </w:pPr>
      <w:r w:rsidRPr="00651263">
        <w:rPr>
          <w:bCs/>
        </w:rPr>
        <w:t xml:space="preserve">- No se evidencia un </w:t>
      </w:r>
      <w:r w:rsidR="00DD2F7B" w:rsidRPr="00651263">
        <w:rPr>
          <w:bCs/>
        </w:rPr>
        <w:t>cálculo</w:t>
      </w:r>
      <w:r w:rsidRPr="00651263">
        <w:rPr>
          <w:bCs/>
        </w:rPr>
        <w:t xml:space="preserve"> de duraciones de las principales actividades, con la finalidad de revisar las duraciones indicadas en el cronograma, </w:t>
      </w:r>
      <w:proofErr w:type="spellStart"/>
      <w:r w:rsidRPr="00651263">
        <w:rPr>
          <w:bCs/>
        </w:rPr>
        <w:t>asi</w:t>
      </w:r>
      <w:proofErr w:type="spellEnd"/>
      <w:r w:rsidRPr="00651263">
        <w:rPr>
          <w:bCs/>
        </w:rPr>
        <w:t xml:space="preserve"> como la estrategia del postor (turnos, #cuadrillas, supuestos, entre otras consideraciones) con la cual se </w:t>
      </w:r>
      <w:r w:rsidR="00DD2F7B" w:rsidRPr="00651263">
        <w:rPr>
          <w:bCs/>
        </w:rPr>
        <w:t>elaboró</w:t>
      </w:r>
      <w:r w:rsidRPr="00651263">
        <w:rPr>
          <w:bCs/>
        </w:rPr>
        <w:t xml:space="preserve"> el cronograma.</w:t>
      </w:r>
    </w:p>
    <w:p w14:paraId="46389928" w14:textId="76FD5E3A" w:rsidR="00651263" w:rsidRPr="00651263" w:rsidRDefault="00651263" w:rsidP="00651263">
      <w:pPr>
        <w:ind w:left="426"/>
        <w:jc w:val="both"/>
        <w:rPr>
          <w:bCs/>
        </w:rPr>
      </w:pPr>
      <w:r w:rsidRPr="00651263">
        <w:rPr>
          <w:bCs/>
        </w:rPr>
        <w:t xml:space="preserve">- Las actividades relaciones a "trabajos de canteras, suministro de roca", se </w:t>
      </w:r>
      <w:r w:rsidR="00DD2F7B" w:rsidRPr="00651263">
        <w:rPr>
          <w:bCs/>
        </w:rPr>
        <w:t>sugiere</w:t>
      </w:r>
      <w:r w:rsidRPr="00651263">
        <w:rPr>
          <w:bCs/>
        </w:rPr>
        <w:t xml:space="preserve"> detallar por canteras (2, 3 canteras en simultaneo, </w:t>
      </w:r>
      <w:r w:rsidR="008A60E3" w:rsidRPr="00651263">
        <w:rPr>
          <w:bCs/>
        </w:rPr>
        <w:t>así</w:t>
      </w:r>
      <w:bookmarkStart w:id="1" w:name="_GoBack"/>
      <w:bookmarkEnd w:id="1"/>
      <w:r w:rsidRPr="00651263">
        <w:rPr>
          <w:bCs/>
        </w:rPr>
        <w:t xml:space="preserve"> como las consideraciones: turnos, #cuadrillas, supuestos). Puesto que no cumple con los criterios de programación, debido a que las duraciones son muy elevadas.</w:t>
      </w:r>
    </w:p>
    <w:p w14:paraId="5F640DE2" w14:textId="4F20CA6B" w:rsidR="00080114" w:rsidRPr="00651263" w:rsidRDefault="00080114" w:rsidP="00651263">
      <w:pPr>
        <w:ind w:left="426"/>
        <w:jc w:val="both"/>
        <w:rPr>
          <w:b/>
        </w:rPr>
      </w:pPr>
      <w:r w:rsidRPr="00651263">
        <w:rPr>
          <w:b/>
        </w:rPr>
        <w:t>2. Cronograma de Adquisición de Materiales</w:t>
      </w:r>
    </w:p>
    <w:p w14:paraId="6BE4444C" w14:textId="2E5A2D42" w:rsidR="00651263" w:rsidRPr="00651263" w:rsidRDefault="00651263" w:rsidP="00080114">
      <w:pPr>
        <w:ind w:left="426"/>
        <w:jc w:val="both"/>
        <w:rPr>
          <w:bCs/>
        </w:rPr>
      </w:pPr>
      <w:r w:rsidRPr="00651263">
        <w:rPr>
          <w:bCs/>
        </w:rPr>
        <w:t xml:space="preserve">El postor presenta el cronograma de adquisiciones de materiales principales, sin embargo, llama la atención los picos de suministro principalmente de roca </w:t>
      </w:r>
      <w:proofErr w:type="gramStart"/>
      <w:r w:rsidRPr="00651263">
        <w:rPr>
          <w:bCs/>
        </w:rPr>
        <w:t>( 29</w:t>
      </w:r>
      <w:proofErr w:type="gramEnd"/>
      <w:r w:rsidRPr="00651263">
        <w:rPr>
          <w:bCs/>
        </w:rPr>
        <w:t xml:space="preserve">mil m3 / mes). Se </w:t>
      </w:r>
      <w:r w:rsidR="00DD2F7B" w:rsidRPr="00651263">
        <w:rPr>
          <w:bCs/>
        </w:rPr>
        <w:t>sugiere</w:t>
      </w:r>
      <w:r w:rsidRPr="00651263">
        <w:rPr>
          <w:bCs/>
        </w:rPr>
        <w:t xml:space="preserve"> revisar y presentar sustentos. As</w:t>
      </w:r>
      <w:r w:rsidR="00DD2F7B">
        <w:rPr>
          <w:bCs/>
        </w:rPr>
        <w:t>í</w:t>
      </w:r>
      <w:r w:rsidRPr="00651263">
        <w:rPr>
          <w:bCs/>
        </w:rPr>
        <w:t xml:space="preserve"> mismo, en el cronograma no se evidencia labores en canteras para el mes de Ene'25.</w:t>
      </w:r>
    </w:p>
    <w:p w14:paraId="02ED9476" w14:textId="713E7457" w:rsidR="00080114" w:rsidRPr="00651263" w:rsidRDefault="00651263" w:rsidP="00080114">
      <w:pPr>
        <w:ind w:left="426"/>
        <w:jc w:val="both"/>
        <w:rPr>
          <w:b/>
        </w:rPr>
      </w:pPr>
      <w:r w:rsidRPr="00651263">
        <w:rPr>
          <w:b/>
        </w:rPr>
        <w:t>5</w:t>
      </w:r>
      <w:r w:rsidR="00080114" w:rsidRPr="00651263">
        <w:rPr>
          <w:b/>
        </w:rPr>
        <w:t xml:space="preserve">. </w:t>
      </w:r>
      <w:r w:rsidRPr="00651263">
        <w:rPr>
          <w:b/>
        </w:rPr>
        <w:t>Cronograma Valorizado</w:t>
      </w:r>
    </w:p>
    <w:p w14:paraId="4391B734" w14:textId="41B92985" w:rsidR="006B3592" w:rsidRPr="00651263" w:rsidRDefault="00651263" w:rsidP="00080114">
      <w:pPr>
        <w:ind w:left="709"/>
        <w:jc w:val="both"/>
        <w:rPr>
          <w:bCs/>
        </w:rPr>
      </w:pPr>
      <w:r w:rsidRPr="00651263">
        <w:rPr>
          <w:bCs/>
        </w:rPr>
        <w:t>El postor presentó el cronograma valorizado de manera general</w:t>
      </w:r>
      <w:r w:rsidR="00DB1007">
        <w:rPr>
          <w:bCs/>
        </w:rPr>
        <w:t xml:space="preserve">. </w:t>
      </w:r>
      <w:r w:rsidR="00DB1007" w:rsidRPr="00DB1007">
        <w:rPr>
          <w:bCs/>
        </w:rPr>
        <w:t>Se debe presentar el cronograma valorizado a nivel de presupuesto, no un avance en una sola línea.</w:t>
      </w:r>
    </w:p>
    <w:p w14:paraId="4EF5F349" w14:textId="77777777" w:rsidR="009E7CF4" w:rsidRPr="00651263" w:rsidRDefault="009E7CF4" w:rsidP="00FF6D73">
      <w:pPr>
        <w:jc w:val="both"/>
        <w:rPr>
          <w:b/>
        </w:rPr>
      </w:pPr>
      <w:r w:rsidRPr="00651263">
        <w:rPr>
          <w:b/>
        </w:rPr>
        <w:t>C1. Oferta económica</w:t>
      </w:r>
    </w:p>
    <w:p w14:paraId="716D2905" w14:textId="77777777" w:rsidR="00BC5596" w:rsidRPr="00651263" w:rsidRDefault="00BC5596" w:rsidP="00BC5596">
      <w:pPr>
        <w:ind w:left="426"/>
        <w:jc w:val="both"/>
      </w:pPr>
      <w:r w:rsidRPr="00651263">
        <w:t>Sin observaciones.</w:t>
      </w:r>
    </w:p>
    <w:p w14:paraId="5CF42455" w14:textId="77777777" w:rsidR="00406F00" w:rsidRPr="00651263" w:rsidRDefault="00406F00" w:rsidP="00FF6D73">
      <w:pPr>
        <w:jc w:val="both"/>
        <w:rPr>
          <w:b/>
        </w:rPr>
      </w:pPr>
      <w:r w:rsidRPr="00651263">
        <w:rPr>
          <w:b/>
        </w:rPr>
        <w:t>C2. Análisis de precios unitarios</w:t>
      </w:r>
    </w:p>
    <w:p w14:paraId="4862E85E" w14:textId="5C3498F5" w:rsidR="00B922FE" w:rsidRPr="00651263" w:rsidRDefault="00897E8F" w:rsidP="00FF6D73">
      <w:pPr>
        <w:ind w:left="426"/>
        <w:jc w:val="both"/>
      </w:pPr>
      <w:r w:rsidRPr="00651263">
        <w:t>Sin observaciones.</w:t>
      </w:r>
    </w:p>
    <w:p w14:paraId="1D7D817A" w14:textId="77777777" w:rsidR="00A66935" w:rsidRPr="000758CC" w:rsidRDefault="00A66935" w:rsidP="00A66935">
      <w:pPr>
        <w:ind w:left="426"/>
        <w:jc w:val="both"/>
        <w:rPr>
          <w:b/>
          <w:bCs/>
          <w:sz w:val="18"/>
          <w:highlight w:val="yellow"/>
        </w:rPr>
      </w:pPr>
      <w:r w:rsidRPr="000758CC">
        <w:rPr>
          <w:b/>
          <w:bCs/>
          <w:sz w:val="18"/>
          <w:highlight w:val="yellow"/>
        </w:rPr>
        <w:t>Nota:</w:t>
      </w:r>
    </w:p>
    <w:p w14:paraId="72DCDC51" w14:textId="2911708C" w:rsidR="00A66935" w:rsidRPr="000758CC" w:rsidRDefault="00A66935" w:rsidP="00A66935">
      <w:pPr>
        <w:ind w:left="426"/>
        <w:jc w:val="both"/>
        <w:rPr>
          <w:b/>
          <w:bCs/>
          <w:sz w:val="18"/>
          <w:highlight w:val="yellow"/>
        </w:rPr>
      </w:pPr>
      <w:r w:rsidRPr="000758CC">
        <w:rPr>
          <w:b/>
          <w:bCs/>
          <w:sz w:val="18"/>
          <w:highlight w:val="yellow"/>
        </w:rPr>
        <w:t>No se realizará segunda ronda económica,</w:t>
      </w:r>
      <w:r w:rsidR="00805BE6" w:rsidRPr="000758CC">
        <w:rPr>
          <w:b/>
          <w:bCs/>
          <w:sz w:val="18"/>
          <w:highlight w:val="yellow"/>
        </w:rPr>
        <w:t xml:space="preserve"> en caso aplique,</w:t>
      </w:r>
      <w:r w:rsidRPr="000758CC">
        <w:rPr>
          <w:b/>
          <w:bCs/>
          <w:sz w:val="18"/>
          <w:highlight w:val="yellow"/>
        </w:rPr>
        <w:t xml:space="preserve"> solo se solicitará la actualización de la oferta únicamente las partidas que esté observado por OHLA Gestor.</w:t>
      </w:r>
    </w:p>
    <w:p w14:paraId="252FD055" w14:textId="155F0178" w:rsidR="00E23F4A" w:rsidRDefault="00A66935" w:rsidP="00FF6D73">
      <w:pPr>
        <w:ind w:left="426"/>
        <w:jc w:val="both"/>
      </w:pPr>
      <w:r w:rsidRPr="000758CC">
        <w:rPr>
          <w:b/>
          <w:bCs/>
          <w:sz w:val="18"/>
          <w:highlight w:val="yellow"/>
        </w:rPr>
        <w:lastRenderedPageBreak/>
        <w:t>Respecto a la parte técnica, solo se deberán subsanar las observaciones emitidas por OHLA Gestor.</w:t>
      </w:r>
    </w:p>
    <w:p w14:paraId="65EB83B4" w14:textId="77777777" w:rsidR="009E7CF4" w:rsidRPr="008E3B25" w:rsidRDefault="009E7CF4" w:rsidP="00FF6D73">
      <w:pPr>
        <w:ind w:left="426"/>
        <w:jc w:val="both"/>
      </w:pPr>
    </w:p>
    <w:sectPr w:rsidR="009E7CF4" w:rsidRPr="008E3B25" w:rsidSect="00CD7044">
      <w:headerReference w:type="default" r:id="rId7"/>
      <w:pgSz w:w="11906" w:h="16838" w:orient="landscape" w:code="9"/>
      <w:pgMar w:top="1417" w:right="170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6703A" w14:textId="77777777" w:rsidR="00E116CB" w:rsidRDefault="00E116CB" w:rsidP="00833A1A">
      <w:pPr>
        <w:spacing w:after="0" w:line="240" w:lineRule="auto"/>
      </w:pPr>
      <w:r>
        <w:separator/>
      </w:r>
    </w:p>
  </w:endnote>
  <w:endnote w:type="continuationSeparator" w:id="0">
    <w:p w14:paraId="487335F2" w14:textId="77777777" w:rsidR="00E116CB" w:rsidRDefault="00E116CB"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7447A" w14:textId="77777777" w:rsidR="00E116CB" w:rsidRDefault="00E116CB" w:rsidP="00833A1A">
      <w:pPr>
        <w:spacing w:after="0" w:line="240" w:lineRule="auto"/>
      </w:pPr>
      <w:r>
        <w:separator/>
      </w:r>
    </w:p>
  </w:footnote>
  <w:footnote w:type="continuationSeparator" w:id="0">
    <w:p w14:paraId="775A88F1" w14:textId="77777777" w:rsidR="00E116CB" w:rsidRDefault="00E116CB"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30C5D" w14:textId="7EDFA0B7" w:rsidR="00833A1A" w:rsidRDefault="00030D31" w:rsidP="00833A1A">
    <w:pPr>
      <w:pStyle w:val="Encabezado"/>
    </w:pPr>
    <w:r>
      <w:rPr>
        <w:noProof/>
      </w:rPr>
      <w:drawing>
        <wp:anchor distT="0" distB="0" distL="114300" distR="114300" simplePos="0" relativeHeight="251658240" behindDoc="0" locked="0" layoutInCell="1" allowOverlap="1" wp14:anchorId="3C1909E9" wp14:editId="0A87A1BD">
          <wp:simplePos x="0" y="0"/>
          <wp:positionH relativeFrom="column">
            <wp:posOffset>4205605</wp:posOffset>
          </wp:positionH>
          <wp:positionV relativeFrom="paragraph">
            <wp:posOffset>83820</wp:posOffset>
          </wp:positionV>
          <wp:extent cx="1224915" cy="485775"/>
          <wp:effectExtent l="0" t="0" r="0" b="9525"/>
          <wp:wrapSquare wrapText="bothSides"/>
          <wp:docPr id="2" name="Imagen 1">
            <a:extLst xmlns:a="http://schemas.openxmlformats.org/drawingml/2006/main">
              <a:ext uri="{FF2B5EF4-FFF2-40B4-BE49-F238E27FC236}">
                <a16:creationId xmlns:a16="http://schemas.microsoft.com/office/drawing/2014/main" id="{AAA0BCA4-888D-4D3E-95FF-31EF09F571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AAA0BCA4-888D-4D3E-95FF-31EF09F57167}"/>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4915" cy="485775"/>
                  </a:xfrm>
                  <a:prstGeom prst="rect">
                    <a:avLst/>
                  </a:prstGeom>
                  <a:noFill/>
                </pic:spPr>
              </pic:pic>
            </a:graphicData>
          </a:graphic>
          <wp14:sizeRelH relativeFrom="page">
            <wp14:pctWidth>0</wp14:pctWidth>
          </wp14:sizeRelH>
          <wp14:sizeRelV relativeFrom="page">
            <wp14:pctHeight>0</wp14:pctHeight>
          </wp14:sizeRelV>
        </wp:anchor>
      </w:drawing>
    </w:r>
    <w:r w:rsidR="002E7D0E">
      <w:rPr>
        <w:noProof/>
      </w:rPr>
      <w:drawing>
        <wp:inline distT="0" distB="0" distL="0" distR="0" wp14:anchorId="64257BF9" wp14:editId="0FF8CBF0">
          <wp:extent cx="904875" cy="571621"/>
          <wp:effectExtent l="0" t="0" r="0" b="0"/>
          <wp:docPr id="43" name="Imagen 42" descr="OHLA PERÚ | LinkedIn">
            <a:extLst xmlns:a="http://schemas.openxmlformats.org/drawingml/2006/main">
              <a:ext uri="{FF2B5EF4-FFF2-40B4-BE49-F238E27FC236}">
                <a16:creationId xmlns:a16="http://schemas.microsoft.com/office/drawing/2014/main" id="{A402DCB6-4977-4000-9E30-E68C09EBA4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2" descr="OHLA PERÚ | LinkedIn">
                    <a:extLst>
                      <a:ext uri="{FF2B5EF4-FFF2-40B4-BE49-F238E27FC236}">
                        <a16:creationId xmlns:a16="http://schemas.microsoft.com/office/drawing/2014/main" id="{A402DCB6-4977-4000-9E30-E68C09EBA493}"/>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918747" cy="580384"/>
                  </a:xfrm>
                  <a:prstGeom prst="rect">
                    <a:avLst/>
                  </a:prstGeom>
                  <a:noFill/>
                  <a:extLst/>
                </pic:spPr>
              </pic:pic>
            </a:graphicData>
          </a:graphic>
        </wp:inline>
      </w:drawing>
    </w:r>
    <w:r w:rsidR="00833A1A">
      <w:rPr>
        <w:noProof/>
      </w:rPr>
      <w:t xml:space="preserve">                                                                                                                        </w:t>
    </w:r>
    <w:r w:rsidR="00833A1A" w:rsidRPr="006F0544">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BD0424"/>
    <w:multiLevelType w:val="hybridMultilevel"/>
    <w:tmpl w:val="F2AC7844"/>
    <w:lvl w:ilvl="0" w:tplc="280A0001">
      <w:start w:val="1"/>
      <w:numFmt w:val="bullet"/>
      <w:lvlText w:val=""/>
      <w:lvlJc w:val="left"/>
      <w:pPr>
        <w:ind w:left="1854" w:hanging="360"/>
      </w:pPr>
      <w:rPr>
        <w:rFonts w:ascii="Symbol" w:hAnsi="Symbol" w:hint="default"/>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1"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 w15:restartNumberingAfterBreak="0">
    <w:nsid w:val="5A6A5F5E"/>
    <w:multiLevelType w:val="hybridMultilevel"/>
    <w:tmpl w:val="C1741AB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3" w15:restartNumberingAfterBreak="0">
    <w:nsid w:val="60C5380E"/>
    <w:multiLevelType w:val="hybridMultilevel"/>
    <w:tmpl w:val="42B44C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6AF21699"/>
    <w:multiLevelType w:val="hybridMultilevel"/>
    <w:tmpl w:val="C0AC397A"/>
    <w:lvl w:ilvl="0" w:tplc="8E8867E2">
      <w:start w:val="31"/>
      <w:numFmt w:val="bullet"/>
      <w:lvlText w:val=""/>
      <w:lvlJc w:val="left"/>
      <w:pPr>
        <w:ind w:left="720" w:hanging="360"/>
      </w:pPr>
      <w:rPr>
        <w:rFonts w:ascii="Symbol" w:eastAsia="Calibri" w:hAnsi="Symbol"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7"/>
  </w:num>
  <w:num w:numId="2">
    <w:abstractNumId w:val="1"/>
  </w:num>
  <w:num w:numId="3">
    <w:abstractNumId w:val="4"/>
  </w:num>
  <w:num w:numId="4">
    <w:abstractNumId w:val="5"/>
  </w:num>
  <w:num w:numId="5">
    <w:abstractNumId w:val="3"/>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06BBC"/>
    <w:rsid w:val="00030D31"/>
    <w:rsid w:val="000742B1"/>
    <w:rsid w:val="000758CC"/>
    <w:rsid w:val="00080114"/>
    <w:rsid w:val="0009698B"/>
    <w:rsid w:val="000D34C3"/>
    <w:rsid w:val="0010238E"/>
    <w:rsid w:val="0010280E"/>
    <w:rsid w:val="0013463C"/>
    <w:rsid w:val="0014792C"/>
    <w:rsid w:val="00151D01"/>
    <w:rsid w:val="00154185"/>
    <w:rsid w:val="001A1FBE"/>
    <w:rsid w:val="001A688C"/>
    <w:rsid w:val="001B40A0"/>
    <w:rsid w:val="001B6E24"/>
    <w:rsid w:val="00271B3B"/>
    <w:rsid w:val="00277D6D"/>
    <w:rsid w:val="00285DAE"/>
    <w:rsid w:val="002C2CCE"/>
    <w:rsid w:val="002C2E63"/>
    <w:rsid w:val="002E6639"/>
    <w:rsid w:val="002E7D0E"/>
    <w:rsid w:val="00321A2E"/>
    <w:rsid w:val="003410CA"/>
    <w:rsid w:val="00381E58"/>
    <w:rsid w:val="00406F00"/>
    <w:rsid w:val="00426283"/>
    <w:rsid w:val="004639BA"/>
    <w:rsid w:val="004A0067"/>
    <w:rsid w:val="00525C73"/>
    <w:rsid w:val="0052798A"/>
    <w:rsid w:val="00536B8B"/>
    <w:rsid w:val="00543D91"/>
    <w:rsid w:val="00565E6B"/>
    <w:rsid w:val="005C78B0"/>
    <w:rsid w:val="006257C1"/>
    <w:rsid w:val="0064465F"/>
    <w:rsid w:val="00645BF4"/>
    <w:rsid w:val="00651263"/>
    <w:rsid w:val="006B3592"/>
    <w:rsid w:val="006D4C08"/>
    <w:rsid w:val="006F3DCE"/>
    <w:rsid w:val="007354B6"/>
    <w:rsid w:val="007628F9"/>
    <w:rsid w:val="007861BB"/>
    <w:rsid w:val="00797974"/>
    <w:rsid w:val="007B353F"/>
    <w:rsid w:val="007D5FC3"/>
    <w:rsid w:val="007D76CF"/>
    <w:rsid w:val="00805BE6"/>
    <w:rsid w:val="00833A1A"/>
    <w:rsid w:val="008614BC"/>
    <w:rsid w:val="00897E8F"/>
    <w:rsid w:val="008A60E3"/>
    <w:rsid w:val="008B46D6"/>
    <w:rsid w:val="008E3B25"/>
    <w:rsid w:val="008E7B69"/>
    <w:rsid w:val="00903232"/>
    <w:rsid w:val="009318C5"/>
    <w:rsid w:val="00937647"/>
    <w:rsid w:val="009628B1"/>
    <w:rsid w:val="00985812"/>
    <w:rsid w:val="00994459"/>
    <w:rsid w:val="00994FF2"/>
    <w:rsid w:val="009E19BC"/>
    <w:rsid w:val="009E7CF4"/>
    <w:rsid w:val="009F63C3"/>
    <w:rsid w:val="00A0707A"/>
    <w:rsid w:val="00A66935"/>
    <w:rsid w:val="00A92B64"/>
    <w:rsid w:val="00A93E91"/>
    <w:rsid w:val="00AA02E0"/>
    <w:rsid w:val="00B0617B"/>
    <w:rsid w:val="00B347E1"/>
    <w:rsid w:val="00B922FE"/>
    <w:rsid w:val="00BB6C89"/>
    <w:rsid w:val="00BC5596"/>
    <w:rsid w:val="00BE369C"/>
    <w:rsid w:val="00C16235"/>
    <w:rsid w:val="00C172A5"/>
    <w:rsid w:val="00C77819"/>
    <w:rsid w:val="00C90281"/>
    <w:rsid w:val="00CC2608"/>
    <w:rsid w:val="00CD7044"/>
    <w:rsid w:val="00D40353"/>
    <w:rsid w:val="00D735B9"/>
    <w:rsid w:val="00D74B40"/>
    <w:rsid w:val="00D74D29"/>
    <w:rsid w:val="00D87AE2"/>
    <w:rsid w:val="00D953AC"/>
    <w:rsid w:val="00D96C72"/>
    <w:rsid w:val="00DB1007"/>
    <w:rsid w:val="00DB6115"/>
    <w:rsid w:val="00DD2F7B"/>
    <w:rsid w:val="00DD77F8"/>
    <w:rsid w:val="00DF5CE5"/>
    <w:rsid w:val="00E025BA"/>
    <w:rsid w:val="00E116CB"/>
    <w:rsid w:val="00E12FFE"/>
    <w:rsid w:val="00E23F4A"/>
    <w:rsid w:val="00E55047"/>
    <w:rsid w:val="00E90544"/>
    <w:rsid w:val="00EF0623"/>
    <w:rsid w:val="00F621B6"/>
    <w:rsid w:val="00F7624D"/>
    <w:rsid w:val="00FA7624"/>
    <w:rsid w:val="00FB76DA"/>
    <w:rsid w:val="00FC58CF"/>
    <w:rsid w:val="00FF6D7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269951">
      <w:bodyDiv w:val="1"/>
      <w:marLeft w:val="0"/>
      <w:marRight w:val="0"/>
      <w:marTop w:val="0"/>
      <w:marBottom w:val="0"/>
      <w:divBdr>
        <w:top w:val="none" w:sz="0" w:space="0" w:color="auto"/>
        <w:left w:val="none" w:sz="0" w:space="0" w:color="auto"/>
        <w:bottom w:val="none" w:sz="0" w:space="0" w:color="auto"/>
        <w:right w:val="none" w:sz="0" w:space="0" w:color="auto"/>
      </w:divBdr>
    </w:div>
    <w:div w:id="950016011">
      <w:bodyDiv w:val="1"/>
      <w:marLeft w:val="0"/>
      <w:marRight w:val="0"/>
      <w:marTop w:val="0"/>
      <w:marBottom w:val="0"/>
      <w:divBdr>
        <w:top w:val="none" w:sz="0" w:space="0" w:color="auto"/>
        <w:left w:val="none" w:sz="0" w:space="0" w:color="auto"/>
        <w:bottom w:val="none" w:sz="0" w:space="0" w:color="auto"/>
        <w:right w:val="none" w:sz="0" w:space="0" w:color="auto"/>
      </w:divBdr>
    </w:div>
    <w:div w:id="143321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1099</Words>
  <Characters>6046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Patricia Portal Quezada</cp:lastModifiedBy>
  <cp:revision>4</cp:revision>
  <cp:lastPrinted>2024-04-24T19:48:00Z</cp:lastPrinted>
  <dcterms:created xsi:type="dcterms:W3CDTF">2024-06-05T22:34:00Z</dcterms:created>
  <dcterms:modified xsi:type="dcterms:W3CDTF">2024-06-11T18:01:00Z</dcterms:modified>
</cp:coreProperties>
</file>